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26D2B3">
      <w:pPr>
        <w:pStyle w:val="122"/>
        <w:framePr w:wrap="around"/>
      </w:pPr>
      <w:r>
        <w:rPr>
          <w:rFonts w:ascii="Times New Roman"/>
        </w:rPr>
        <w:t>ICS</w:t>
      </w:r>
      <w:r>
        <w:rPr>
          <w:rFonts w:hint="eastAsia" w:ascii="MS Mincho" w:hAnsi="MS Mincho" w:eastAsia="MS Mincho" w:cs="MS Mincho"/>
        </w:rPr>
        <w:t> </w:t>
      </w:r>
      <w:r>
        <w:t>67.</w:t>
      </w:r>
      <w:r>
        <w:rPr>
          <w:rFonts w:hint="eastAsia"/>
        </w:rPr>
        <w:t>080</w:t>
      </w:r>
      <w:r>
        <w:t>.</w:t>
      </w:r>
      <w:r>
        <w:rPr>
          <w:rFonts w:hint="eastAsia"/>
        </w:rPr>
        <w:t>10</w:t>
      </w:r>
    </w:p>
    <w:p w14:paraId="6B078FF3">
      <w:pPr>
        <w:pStyle w:val="122"/>
        <w:framePr w:wrap="around"/>
      </w:pPr>
      <w:r>
        <w:rPr>
          <w:rFonts w:hint="eastAsia"/>
        </w:rPr>
        <w:t>B 31</w:t>
      </w:r>
    </w:p>
    <w:tbl>
      <w:tblPr>
        <w:tblStyle w:val="3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1"/>
      </w:tblGrid>
      <w:tr w14:paraId="332719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tcPr>
          <w:p w14:paraId="7AD6A974">
            <w:pPr>
              <w:pStyle w:val="122"/>
              <w:framePr w:wrap="around"/>
            </w:pPr>
            <w:r>
              <mc:AlternateContent>
                <mc:Choice Requires="wps">
                  <w:drawing>
                    <wp:anchor distT="0" distB="0" distL="114300" distR="114300" simplePos="0" relativeHeight="251662336" behindDoc="1" locked="0" layoutInCell="1" allowOverlap="1">
                      <wp:simplePos x="0" y="0"/>
                      <wp:positionH relativeFrom="column">
                        <wp:posOffset>-66675</wp:posOffset>
                      </wp:positionH>
                      <wp:positionV relativeFrom="paragraph">
                        <wp:posOffset>0</wp:posOffset>
                      </wp:positionV>
                      <wp:extent cx="866775" cy="198120"/>
                      <wp:effectExtent l="0" t="0" r="9525" b="11430"/>
                      <wp:wrapNone/>
                      <wp:docPr id="4"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txbx>
                              <w:txbxContent>
                                <w:p w14:paraId="577824BF"/>
                              </w:txbxContent>
                            </wps:txbx>
                            <wps:bodyPr wrap="square" upright="1"/>
                          </wps:wsp>
                        </a:graphicData>
                      </a:graphic>
                    </wp:anchor>
                  </w:drawing>
                </mc:Choice>
                <mc:Fallback>
                  <w:pict>
                    <v:rect id="BAH" o:spid="_x0000_s1026" o:spt="1" style="position:absolute;left:0pt;margin-left:-5.25pt;margin-top:0pt;height:15.6pt;width:68.25pt;z-index:-251654144;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DI&#10;ri/s1QAAAAcBAAAPAAAAAAAAAAEAIAAAACIAAABkcnMvZG93bnJldi54bWxQSwECFAAUAAAACACH&#10;TuJAgMHi27UBAAByAwAADgAAAAAAAAABACAAAAAkAQAAZHJzL2Uyb0RvYy54bWxQSwUGAAAAAAYA&#10;BgBZAQAASwUAAAAA&#10;">
                      <v:fill on="t" focussize="0,0"/>
                      <v:stroke on="f"/>
                      <v:imagedata o:title=""/>
                      <o:lock v:ext="edit" aspectratio="f"/>
                      <v:textbox>
                        <w:txbxContent>
                          <w:p w14:paraId="577824BF"/>
                        </w:txbxContent>
                      </v:textbox>
                    </v:rect>
                  </w:pict>
                </mc:Fallback>
              </mc:AlternateContent>
            </w:r>
            <w:r>
              <w:fldChar w:fldCharType="begin">
                <w:ffData>
                  <w:name w:val="BAH"/>
                  <w:enabled/>
                  <w:calcOnExit w:val="0"/>
                  <w:textInput/>
                </w:ffData>
              </w:fldChar>
            </w:r>
            <w:bookmarkStart w:id="0" w:name="BAH"/>
            <w:r>
              <w:instrText xml:space="preserve"> FORMTEXT </w:instrText>
            </w:r>
            <w:r>
              <w:fldChar w:fldCharType="separate"/>
            </w:r>
            <w:r>
              <w:t>     </w:t>
            </w:r>
            <w:r>
              <w:fldChar w:fldCharType="end"/>
            </w:r>
            <w:bookmarkEnd w:id="0"/>
          </w:p>
        </w:tc>
      </w:tr>
    </w:tbl>
    <w:p w14:paraId="508E4529">
      <w:pPr>
        <w:pStyle w:val="109"/>
        <w:framePr w:wrap="around"/>
      </w:pPr>
      <w:r>
        <w:t>DB</w:t>
      </w:r>
      <w:bookmarkStart w:id="1" w:name="c3"/>
      <w:r>
        <w:fldChar w:fldCharType="begin">
          <w:ffData>
            <w:name w:val="c3"/>
            <w:enabled/>
            <w:calcOnExit w:val="0"/>
            <w:textInput>
              <w:maxLength w:val="2"/>
            </w:textInput>
          </w:ffData>
        </w:fldChar>
      </w:r>
      <w:r>
        <w:instrText xml:space="preserve"> FORMTEXT </w:instrText>
      </w:r>
      <w:r>
        <w:fldChar w:fldCharType="separate"/>
      </w:r>
      <w:r>
        <w:rPr>
          <w:rFonts w:hint="eastAsia"/>
        </w:rPr>
        <w:t>36</w:t>
      </w:r>
      <w:r>
        <w:fldChar w:fldCharType="end"/>
      </w:r>
      <w:bookmarkEnd w:id="1"/>
    </w:p>
    <w:p w14:paraId="4F3CA1BA">
      <w:pPr>
        <w:pStyle w:val="110"/>
        <w:framePr w:wrap="around"/>
      </w:pPr>
      <w:bookmarkStart w:id="2" w:name="c4"/>
      <w:r>
        <w:fldChar w:fldCharType="begin">
          <w:ffData>
            <w:name w:val="c4"/>
            <w:enabled/>
            <w:calcOnExit w:val="0"/>
            <w:textInput/>
          </w:ffData>
        </w:fldChar>
      </w:r>
      <w:r>
        <w:instrText xml:space="preserve"> FORMTEXT </w:instrText>
      </w:r>
      <w:r>
        <w:fldChar w:fldCharType="separate"/>
      </w:r>
      <w:r>
        <w:rPr>
          <w:rFonts w:hint="eastAsia"/>
        </w:rPr>
        <w:t>江西省</w:t>
      </w:r>
      <w:r>
        <w:fldChar w:fldCharType="end"/>
      </w:r>
      <w:bookmarkEnd w:id="2"/>
      <w:r>
        <w:rPr>
          <w:rFonts w:hint="eastAsia"/>
        </w:rPr>
        <w:t>地方标准</w:t>
      </w:r>
    </w:p>
    <w:p w14:paraId="40697E3E">
      <w:pPr>
        <w:pStyle w:val="74"/>
        <w:framePr w:wrap="around"/>
        <w:rPr>
          <w:rFonts w:hAnsi="黑体"/>
        </w:rPr>
      </w:pPr>
      <w:r>
        <w:rPr>
          <w:rFonts w:ascii="Times New Roman"/>
        </w:rPr>
        <w:t xml:space="preserve">DB </w:t>
      </w:r>
      <w:bookmarkStart w:id="3" w:name="StdNo0"/>
      <w:r>
        <w:rPr>
          <w:rFonts w:hAnsi="黑体"/>
        </w:rPr>
        <w:fldChar w:fldCharType="begin">
          <w:ffData>
            <w:name w:val="StdNo0"/>
            <w:enabled/>
            <w:calcOnExit w:val="0"/>
            <w:textInput>
              <w:default w:val="XX"/>
              <w:maxLength w:val="2"/>
            </w:textInput>
          </w:ffData>
        </w:fldChar>
      </w:r>
      <w:r>
        <w:rPr>
          <w:rFonts w:hAnsi="黑体"/>
        </w:rPr>
        <w:instrText xml:space="preserve"> FORMTEXT </w:instrText>
      </w:r>
      <w:r>
        <w:rPr>
          <w:rFonts w:hAnsi="黑体"/>
        </w:rPr>
        <w:fldChar w:fldCharType="separate"/>
      </w:r>
      <w:r>
        <w:rPr>
          <w:rFonts w:hint="eastAsia" w:hAnsi="黑体"/>
        </w:rPr>
        <w:t>36</w:t>
      </w:r>
      <w:r>
        <w:rPr>
          <w:rFonts w:hAnsi="黑体"/>
        </w:rPr>
        <w:fldChar w:fldCharType="end"/>
      </w:r>
      <w:bookmarkEnd w:id="3"/>
      <w:r>
        <w:rPr>
          <w:rFonts w:hAnsi="黑体"/>
        </w:rPr>
        <w:t>/</w:t>
      </w:r>
      <w:r>
        <w:rPr>
          <w:rFonts w:hint="eastAsia" w:hAnsi="黑体"/>
        </w:rPr>
        <w:t>T 1417</w:t>
      </w:r>
      <w:r>
        <w:rPr>
          <w:rFonts w:hAnsi="黑体"/>
        </w:rPr>
        <w:t>—</w:t>
      </w:r>
      <w:r>
        <w:rPr>
          <w:rFonts w:hint="eastAsia" w:hAnsi="黑体"/>
        </w:rPr>
        <w:t>2024</w:t>
      </w:r>
    </w:p>
    <w:tbl>
      <w:tblPr>
        <w:tblStyle w:val="3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14:paraId="504909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14:paraId="681196DC">
            <w:pPr>
              <w:pStyle w:val="68"/>
              <w:framePr w:wrap="around"/>
            </w:pPr>
            <w:r>
              <w:rPr>
                <w:rFonts w:hint="eastAsia"/>
              </w:rPr>
              <w:t>代替DB36/T 1417-2021</w:t>
            </w:r>
          </w:p>
        </w:tc>
      </w:tr>
    </w:tbl>
    <w:p w14:paraId="75AA0ADC">
      <w:pPr>
        <w:pStyle w:val="74"/>
        <w:framePr w:wrap="around"/>
        <w:rPr>
          <w:rFonts w:hAnsi="黑体"/>
        </w:rPr>
      </w:pPr>
    </w:p>
    <w:p w14:paraId="05C67C98">
      <w:pPr>
        <w:pStyle w:val="74"/>
        <w:framePr w:wrap="around"/>
        <w:rPr>
          <w:rFonts w:hAnsi="黑体"/>
        </w:rPr>
      </w:pPr>
    </w:p>
    <w:p w14:paraId="14344412">
      <w:pPr>
        <w:pStyle w:val="86"/>
        <w:framePr w:wrap="around" w:x="1059" w:y="6348"/>
      </w:pPr>
      <w:r>
        <w:rPr>
          <w:rFonts w:hint="eastAsia"/>
        </w:rPr>
        <w:t>地理标志产品 会昌桔柚</w:t>
      </w:r>
    </w:p>
    <w:p w14:paraId="66F92532">
      <w:pPr>
        <w:pStyle w:val="86"/>
        <w:framePr w:wrap="around" w:x="1059" w:y="6348"/>
        <w:rPr>
          <w:w w:val="80"/>
          <w:sz w:val="28"/>
          <w:szCs w:val="28"/>
        </w:rPr>
      </w:pPr>
      <w:r>
        <w:rPr>
          <w:rFonts w:hint="eastAsia"/>
          <w:w w:val="80"/>
          <w:sz w:val="28"/>
          <w:szCs w:val="28"/>
        </w:rPr>
        <w:t>Product of geographical indication</w:t>
      </w:r>
      <w:r>
        <w:rPr>
          <w:rFonts w:hint="eastAsia" w:ascii="仿宋" w:hAnsi="仿宋" w:eastAsia="仿宋" w:cs="仿宋"/>
          <w:w w:val="80"/>
          <w:sz w:val="28"/>
          <w:szCs w:val="28"/>
        </w:rPr>
        <w:t>--</w:t>
      </w:r>
      <w:r>
        <w:rPr>
          <w:rFonts w:hint="eastAsia"/>
          <w:w w:val="80"/>
          <w:sz w:val="28"/>
          <w:szCs w:val="28"/>
        </w:rPr>
        <w:t>Huichang orange grapefruit</w:t>
      </w:r>
    </w:p>
    <w:p w14:paraId="191596AE">
      <w:pPr>
        <w:pStyle w:val="88"/>
        <w:framePr w:wrap="around" w:x="1059" w:y="6348"/>
      </w:pPr>
      <w:bookmarkStart w:id="4" w:name="YZBS"/>
      <w:r>
        <w:rPr>
          <w:rFonts w:hint="eastAsia"/>
        </w:rPr>
        <w:t xml:space="preserve"> </w:t>
      </w:r>
      <w:r>
        <w:t> </w:t>
      </w:r>
    </w:p>
    <w:bookmarkEnd w:id="4"/>
    <w:tbl>
      <w:tblPr>
        <w:tblStyle w:val="3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14:paraId="2FE99E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77C849D3">
            <w:pPr>
              <w:pStyle w:val="88"/>
              <w:framePr w:wrap="around" w:x="1059" w:y="6348"/>
            </w:pPr>
            <w:r>
              <mc:AlternateContent>
                <mc:Choice Requires="wps">
                  <w:drawing>
                    <wp:anchor distT="0" distB="0" distL="114300" distR="114300" simplePos="0" relativeHeight="251661312" behindDoc="1" locked="1" layoutInCell="1" allowOverlap="1">
                      <wp:simplePos x="0" y="0"/>
                      <wp:positionH relativeFrom="column">
                        <wp:posOffset>2200910</wp:posOffset>
                      </wp:positionH>
                      <wp:positionV relativeFrom="paragraph">
                        <wp:posOffset>4281805</wp:posOffset>
                      </wp:positionV>
                      <wp:extent cx="1905000" cy="254000"/>
                      <wp:effectExtent l="0" t="0" r="0" b="12700"/>
                      <wp:wrapNone/>
                      <wp:docPr id="3"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wps:spPr>
                            <wps:txbx>
                              <w:txbxContent>
                                <w:p w14:paraId="629C6AC0"/>
                              </w:txbxContent>
                            </wps:txbx>
                            <wps:bodyPr wrap="square" upright="1"/>
                          </wps:wsp>
                        </a:graphicData>
                      </a:graphic>
                    </wp:anchor>
                  </w:drawing>
                </mc:Choice>
                <mc:Fallback>
                  <w:pict>
                    <v:rect id="RQ" o:spid="_x0000_s1026" o:spt="1" style="position:absolute;left:0pt;margin-left:173.3pt;margin-top:337.15pt;height:20pt;width:150pt;z-index:-251655168;mso-width-relative:page;mso-height-relative:page;" fillcolor="#FFFFFF" filled="t" stroked="f" coordsize="21600,21600" o:gfxdata="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N/X9+DX&#10;AAAACwEAAA8AAAAAAAAAAQAgAAAAIgAAAGRycy9kb3ducmV2LnhtbFBLAQIUABQAAAAIAIdO4kC9&#10;S8M4rwEAAHIDAAAOAAAAAAAAAAEAIAAAACYBAABkcnMvZTJvRG9jLnhtbFBLBQYAAAAABgAGAFkB&#10;AABHBQAAAAA=&#10;">
                      <v:fill on="t" focussize="0,0"/>
                      <v:stroke on="f"/>
                      <v:imagedata o:title=""/>
                      <o:lock v:ext="edit" aspectratio="f"/>
                      <v:textbox>
                        <w:txbxContent>
                          <w:p w14:paraId="629C6AC0"/>
                        </w:txbxContent>
                      </v:textbox>
                      <w10:anchorlock/>
                    </v:rect>
                  </w:pict>
                </mc:Fallback>
              </mc:AlternateContent>
            </w:r>
          </w:p>
        </w:tc>
      </w:tr>
      <w:tr w14:paraId="2A0179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1A5DBF27">
            <w:pPr>
              <w:pStyle w:val="90"/>
              <w:framePr w:wrap="around" w:x="1059" w:y="6348"/>
              <w:rPr>
                <w:rFonts w:hint="eastAsia" w:eastAsia="宋体"/>
                <w:lang w:eastAsia="zh-CN"/>
              </w:rPr>
            </w:pPr>
            <w:r>
              <w:rPr>
                <w:rFonts w:hint="eastAsia"/>
                <w:lang w:eastAsia="zh-CN"/>
              </w:rPr>
              <w:t>征求意见稿</w:t>
            </w:r>
          </w:p>
        </w:tc>
      </w:tr>
    </w:tbl>
    <w:p w14:paraId="42DC3006">
      <w:pPr>
        <w:pStyle w:val="127"/>
        <w:framePr w:wrap="around" w:x="1373" w:y="14142"/>
        <w:rPr>
          <w:rFonts w:ascii="黑体" w:hAnsi="黑体" w:cs="黑体"/>
        </w:rPr>
      </w:pPr>
      <w:r>
        <w:rPr>
          <w:rFonts w:hint="eastAsia" w:ascii="黑体" w:hAnsi="黑体" w:cs="黑体"/>
        </w:rPr>
        <w:t>XXXX- XX- XX发布</w:t>
      </w:r>
      <w:r>
        <w:rPr>
          <w:rFonts w:hint="eastAsia" w:ascii="黑体" w:hAnsi="黑体" w:cs="黑体"/>
        </w:rPr>
        <mc:AlternateContent>
          <mc:Choice Requires="wps">
            <w:drawing>
              <wp:anchor distT="0" distB="0" distL="114300" distR="114300" simplePos="0" relativeHeight="251663360" behindDoc="0" locked="1" layoutInCell="1" allowOverlap="1">
                <wp:simplePos x="0" y="0"/>
                <wp:positionH relativeFrom="column">
                  <wp:posOffset>-635</wp:posOffset>
                </wp:positionH>
                <wp:positionV relativeFrom="page">
                  <wp:posOffset>9251950</wp:posOffset>
                </wp:positionV>
                <wp:extent cx="6120130" cy="0"/>
                <wp:effectExtent l="0" t="0" r="0" b="0"/>
                <wp:wrapNone/>
                <wp:docPr id="5" name="直线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10" o:spid="_x0000_s1026" o:spt="20" style="position:absolute;left:0pt;margin-left:-0.05pt;margin-top:728.5pt;height:0pt;width:481.9pt;mso-position-vertical-relative:page;z-index:251663360;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CWHazzWAAAACwEAAA8AAAAA&#10;AAAAAQAgAAAAIgAAAGRycy9kb3ducmV2LnhtbFBLAQIUABQAAAAIAIdO4kDzkRwM3QEAANADAAAO&#10;AAAAAAAAAAEAIAAAACUBAABkcnMvZTJvRG9jLnhtbFBLBQYAAAAABgAGAFkBAAB0BQAAAAA=&#10;">
                <v:fill on="f" focussize="0,0"/>
                <v:stroke color="#000000" joinstyle="round"/>
                <v:imagedata o:title=""/>
                <o:lock v:ext="edit" aspectratio="f"/>
                <w10:anchorlock/>
              </v:line>
            </w:pict>
          </mc:Fallback>
        </mc:AlternateContent>
      </w:r>
    </w:p>
    <w:p w14:paraId="627A78FF">
      <w:pPr>
        <w:pStyle w:val="128"/>
        <w:framePr w:wrap="around"/>
      </w:pPr>
      <w:r>
        <w:rPr>
          <w:rFonts w:hint="eastAsia" w:ascii="黑体" w:hAnsi="黑体" w:cs="黑体"/>
        </w:rPr>
        <w:t>XXXX - XX - XX实施</w:t>
      </w:r>
    </w:p>
    <w:p w14:paraId="67104D01">
      <w:pPr>
        <w:pStyle w:val="111"/>
        <w:framePr w:wrap="around"/>
      </w:pPr>
      <w:bookmarkStart w:id="5" w:name="fm"/>
      <w:r>
        <w:rPr>
          <w:w w:val="100"/>
        </w:rPr>
        <mc:AlternateContent>
          <mc:Choice Requires="wps">
            <w:drawing>
              <wp:anchor distT="0" distB="0" distL="114300" distR="114300" simplePos="0" relativeHeight="251660288" behindDoc="1" locked="0" layoutInCell="1" allowOverlap="1">
                <wp:simplePos x="0" y="0"/>
                <wp:positionH relativeFrom="column">
                  <wp:posOffset>1810385</wp:posOffset>
                </wp:positionH>
                <wp:positionV relativeFrom="paragraph">
                  <wp:posOffset>-3942715</wp:posOffset>
                </wp:positionV>
                <wp:extent cx="1270000" cy="304800"/>
                <wp:effectExtent l="0" t="0" r="6350" b="0"/>
                <wp:wrapNone/>
                <wp:docPr id="2"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wps:spPr>
                      <wps:txbx>
                        <w:txbxContent>
                          <w:p w14:paraId="51CB2340"/>
                        </w:txbxContent>
                      </wps:txbx>
                      <wps:bodyPr wrap="square" upright="1"/>
                    </wps:wsp>
                  </a:graphicData>
                </a:graphic>
              </wp:anchor>
            </w:drawing>
          </mc:Choice>
          <mc:Fallback>
            <w:pict>
              <v:rect id="LB" o:spid="_x0000_s1026" o:spt="1" style="position:absolute;left:0pt;margin-left:142.55pt;margin-top:-310.45pt;height:24pt;width:100pt;z-index:-251656192;mso-width-relative:page;mso-height-relative:page;" fillcolor="#FFFFFF" filled="t" stroked="f" coordsize="21600,21600" o:gfxdata="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bXu&#10;1tkAAAANAQAADwAAAAAAAAABACAAAAAiAAAAZHJzL2Rvd25yZXYueG1sUEsBAhQAFAAAAAgAh07i&#10;QF0PpQGvAQAAcgMAAA4AAAAAAAAAAQAgAAAAKAEAAGRycy9lMm9Eb2MueG1sUEsFBgAAAAAGAAYA&#10;WQEAAEkFAAAAAA==&#10;">
                <v:fill on="t" focussize="0,0"/>
                <v:stroke on="f"/>
                <v:imagedata o:title=""/>
                <o:lock v:ext="edit" aspectratio="f"/>
                <v:textbox>
                  <w:txbxContent>
                    <w:p w14:paraId="51CB2340"/>
                  </w:txbxContent>
                </v:textbox>
              </v:rect>
            </w:pict>
          </mc:Fallback>
        </mc:AlternateContent>
      </w:r>
      <w:r>
        <w:rPr>
          <w:w w:val="100"/>
        </w:rPr>
        <mc:AlternateContent>
          <mc:Choice Requires="wps">
            <w:drawing>
              <wp:anchor distT="0" distB="0" distL="114300" distR="114300" simplePos="0" relativeHeight="251659264" behindDoc="1" locked="0" layoutInCell="1" allowOverlap="1">
                <wp:simplePos x="0" y="0"/>
                <wp:positionH relativeFrom="column">
                  <wp:posOffset>4413885</wp:posOffset>
                </wp:positionH>
                <wp:positionV relativeFrom="paragraph">
                  <wp:posOffset>-7435215</wp:posOffset>
                </wp:positionV>
                <wp:extent cx="1143000" cy="228600"/>
                <wp:effectExtent l="0" t="0" r="0" b="0"/>
                <wp:wrapNone/>
                <wp:docPr id="1"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txbx>
                        <w:txbxContent>
                          <w:p w14:paraId="0977F8C5"/>
                        </w:txbxContent>
                      </wps:txbx>
                      <wps:bodyPr wrap="square" upright="1"/>
                    </wps:wsp>
                  </a:graphicData>
                </a:graphic>
              </wp:anchor>
            </w:drawing>
          </mc:Choice>
          <mc:Fallback>
            <w:pict>
              <v:rect id="DT" o:spid="_x0000_s1026" o:spt="1" style="position:absolute;left:0pt;margin-left:347.55pt;margin-top:-585.45pt;height:18pt;width:90pt;z-index:-251657216;mso-width-relative:page;mso-height-relative:page;" fillcolor="#FFFFFF" filled="t" stroked="f" coordsize="21600,21600"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N/J&#10;ihHaAAAADwEAAA8AAAAAAAAAAQAgAAAAIgAAAGRycy9kb3ducmV2LnhtbFBLAQIUABQAAAAIAIdO&#10;4kDFH/vPrwEAAHIDAAAOAAAAAAAAAAEAIAAAACkBAABkcnMvZTJvRG9jLnhtbFBLBQYAAAAABgAG&#10;AFkBAABKBQAAAAA=&#10;">
                <v:fill on="t" focussize="0,0"/>
                <v:stroke on="f"/>
                <v:imagedata o:title=""/>
                <o:lock v:ext="edit" aspectratio="f"/>
                <v:textbox>
                  <w:txbxContent>
                    <w:p w14:paraId="0977F8C5"/>
                  </w:txbxContent>
                </v:textbox>
              </v:rect>
            </w:pict>
          </mc:Fallback>
        </mc:AlternateContent>
      </w:r>
      <w:r>
        <w:rPr>
          <w:w w:val="100"/>
        </w:rPr>
        <mc:AlternateContent>
          <mc:Choice Requires="wps">
            <w:drawing>
              <wp:anchor distT="0" distB="0" distL="114300" distR="114300" simplePos="0" relativeHeight="251664384" behindDoc="0" locked="0" layoutInCell="1" allowOverlap="1">
                <wp:simplePos x="0" y="0"/>
                <wp:positionH relativeFrom="column">
                  <wp:posOffset>-464820</wp:posOffset>
                </wp:positionH>
                <wp:positionV relativeFrom="paragraph">
                  <wp:posOffset>-7021195</wp:posOffset>
                </wp:positionV>
                <wp:extent cx="6120130" cy="0"/>
                <wp:effectExtent l="0" t="0" r="0" b="0"/>
                <wp:wrapNone/>
                <wp:docPr id="6" name="直线 1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11" o:spid="_x0000_s1026" o:spt="20" style="position:absolute;left:0pt;margin-left:-36.6pt;margin-top:-552.85pt;height:0pt;width:481.9pt;z-index:251664384;mso-width-relative:page;mso-height-relative:page;" filled="f" stroked="t" coordsize="21600,21600" o:gfxdata="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7JZGg2AAAAA8BAAAP&#10;AAAAAAAAAAEAIAAAACIAAABkcnMvZG93bnJldi54bWxQSwECFAAUAAAACACHTuJAMqrHrd8BAADQ&#10;AwAADgAAAAAAAAABACAAAAAnAQAAZHJzL2Uyb0RvYy54bWxQSwUGAAAAAAYABgBZAQAAeAUAAAAA&#10;">
                <v:fill on="f" focussize="0,0"/>
                <v:stroke color="#000000" joinstyle="round"/>
                <v:imagedata o:title=""/>
                <o:lock v:ext="edit" aspectratio="f"/>
              </v:line>
            </w:pict>
          </mc:Fallback>
        </mc:AlternateContent>
      </w:r>
      <w:r>
        <w:fldChar w:fldCharType="begin">
          <w:ffData>
            <w:name w:val="fm"/>
            <w:enabled/>
            <w:calcOnExit w:val="0"/>
            <w:textInput/>
          </w:ffData>
        </w:fldChar>
      </w:r>
      <w:r>
        <w:instrText xml:space="preserve"> FORMTEXT </w:instrText>
      </w:r>
      <w:r>
        <w:fldChar w:fldCharType="separate"/>
      </w:r>
      <w:r>
        <w:rPr>
          <w:rFonts w:hint="eastAsia"/>
        </w:rPr>
        <w:t>江西省市场监督管理局</w:t>
      </w:r>
      <w:r>
        <w:fldChar w:fldCharType="end"/>
      </w:r>
      <w:bookmarkEnd w:id="5"/>
      <w:r>
        <w:rPr>
          <w:rFonts w:hAnsi="黑体"/>
        </w:rPr>
        <w:t>   </w:t>
      </w:r>
      <w:r>
        <w:rPr>
          <w:rStyle w:val="134"/>
          <w:rFonts w:hint="eastAsia"/>
        </w:rPr>
        <w:t>发布</w:t>
      </w:r>
    </w:p>
    <w:p w14:paraId="4A381700">
      <w:pPr>
        <w:pStyle w:val="24"/>
        <w:sectPr>
          <w:footerReference r:id="rId4" w:type="default"/>
          <w:headerReference r:id="rId3" w:type="even"/>
          <w:pgSz w:w="11906" w:h="16838"/>
          <w:pgMar w:top="567" w:right="1134" w:bottom="1134" w:left="1417" w:header="0" w:footer="0" w:gutter="0"/>
          <w:pgNumType w:start="1"/>
          <w:cols w:space="720" w:num="1"/>
          <w:docGrid w:type="lines" w:linePitch="312" w:charSpace="0"/>
        </w:sectPr>
      </w:pPr>
    </w:p>
    <w:p w14:paraId="1DC7EEEB">
      <w:pPr>
        <w:pStyle w:val="67"/>
      </w:pPr>
      <w:bookmarkStart w:id="6" w:name="_Toc16757242"/>
      <w:r>
        <w:rPr>
          <w:rFonts w:hint="eastAsia"/>
        </w:rPr>
        <w:t>目</w:t>
      </w:r>
      <w:bookmarkStart w:id="7" w:name="BKML"/>
      <w:r>
        <w:rPr>
          <w:rFonts w:hAnsi="黑体"/>
        </w:rPr>
        <w:t>  </w:t>
      </w:r>
      <w:r>
        <w:rPr>
          <w:rFonts w:hint="eastAsia"/>
        </w:rPr>
        <w:t>次</w:t>
      </w:r>
      <w:bookmarkEnd w:id="7"/>
    </w:p>
    <w:p w14:paraId="1FD477AB">
      <w:pPr>
        <w:pStyle w:val="20"/>
        <w:tabs>
          <w:tab w:val="right" w:leader="dot" w:pos="9241"/>
          <w:tab w:val="clear" w:pos="9242"/>
        </w:tabs>
        <w:spacing w:before="78" w:after="78"/>
        <w:rPr>
          <w:rFonts w:ascii="Calibri" w:hAnsi="Calibri"/>
          <w:szCs w:val="22"/>
        </w:rPr>
      </w:pPr>
      <w:r>
        <w:fldChar w:fldCharType="begin"/>
      </w:r>
      <w:r>
        <w:instrText xml:space="preserve"> HYPERLINK \l "_Toc24031255" </w:instrText>
      </w:r>
      <w:r>
        <w:fldChar w:fldCharType="separate"/>
      </w:r>
      <w:r>
        <w:rPr>
          <w:rStyle w:val="39"/>
          <w:rFonts w:hint="eastAsia"/>
          <w:color w:val="auto"/>
          <w:u w:val="none"/>
        </w:rPr>
        <w:t>前言</w:t>
      </w:r>
      <w:r>
        <w:tab/>
      </w:r>
      <w:r>
        <w:fldChar w:fldCharType="begin" w:fldLock="1"/>
      </w:r>
      <w:r>
        <w:instrText xml:space="preserve"> PAGEREF _Toc24031255 \h </w:instrText>
      </w:r>
      <w:r>
        <w:fldChar w:fldCharType="separate"/>
      </w:r>
      <w:r>
        <w:t>II</w:t>
      </w:r>
      <w:r>
        <w:fldChar w:fldCharType="end"/>
      </w:r>
      <w:r>
        <w:fldChar w:fldCharType="end"/>
      </w:r>
    </w:p>
    <w:p w14:paraId="00937DD6">
      <w:pPr>
        <w:pStyle w:val="20"/>
        <w:tabs>
          <w:tab w:val="right" w:leader="dot" w:pos="9241"/>
          <w:tab w:val="clear" w:pos="9242"/>
        </w:tabs>
        <w:spacing w:before="78" w:after="78"/>
        <w:rPr>
          <w:rFonts w:ascii="Calibri" w:hAnsi="Calibri"/>
          <w:szCs w:val="22"/>
        </w:rPr>
      </w:pPr>
      <w:r>
        <w:fldChar w:fldCharType="begin"/>
      </w:r>
      <w:r>
        <w:instrText xml:space="preserve"> HYPERLINK \l "_Toc24031256" </w:instrText>
      </w:r>
      <w:r>
        <w:fldChar w:fldCharType="separate"/>
      </w:r>
      <w:r>
        <w:rPr>
          <w:rStyle w:val="39"/>
          <w:color w:val="auto"/>
          <w:u w:val="none"/>
        </w:rPr>
        <w:t>1</w:t>
      </w:r>
      <w:r>
        <w:rPr>
          <w:rStyle w:val="39"/>
          <w:rFonts w:hint="eastAsia"/>
          <w:color w:val="auto"/>
          <w:u w:val="none"/>
        </w:rPr>
        <w:t>　范围</w:t>
      </w:r>
      <w:r>
        <w:tab/>
      </w:r>
      <w:r>
        <w:fldChar w:fldCharType="begin" w:fldLock="1"/>
      </w:r>
      <w:r>
        <w:instrText xml:space="preserve"> PAGEREF _Toc24031256 \h </w:instrText>
      </w:r>
      <w:r>
        <w:fldChar w:fldCharType="separate"/>
      </w:r>
      <w:r>
        <w:t>1</w:t>
      </w:r>
      <w:r>
        <w:fldChar w:fldCharType="end"/>
      </w:r>
      <w:r>
        <w:fldChar w:fldCharType="end"/>
      </w:r>
    </w:p>
    <w:p w14:paraId="07F85751">
      <w:pPr>
        <w:pStyle w:val="20"/>
        <w:tabs>
          <w:tab w:val="right" w:leader="dot" w:pos="9241"/>
          <w:tab w:val="clear" w:pos="9242"/>
        </w:tabs>
        <w:spacing w:before="78" w:after="78"/>
        <w:rPr>
          <w:rFonts w:ascii="Calibri" w:hAnsi="Calibri"/>
          <w:szCs w:val="22"/>
        </w:rPr>
      </w:pPr>
      <w:r>
        <w:fldChar w:fldCharType="begin"/>
      </w:r>
      <w:r>
        <w:instrText xml:space="preserve"> HYPERLINK \l "_Toc24031257" </w:instrText>
      </w:r>
      <w:r>
        <w:fldChar w:fldCharType="separate"/>
      </w:r>
      <w:r>
        <w:rPr>
          <w:rStyle w:val="39"/>
          <w:color w:val="auto"/>
          <w:u w:val="none"/>
        </w:rPr>
        <w:t>2</w:t>
      </w:r>
      <w:r>
        <w:rPr>
          <w:rStyle w:val="39"/>
          <w:rFonts w:hint="eastAsia"/>
          <w:color w:val="auto"/>
          <w:u w:val="none"/>
        </w:rPr>
        <w:t>　规范性引用文件</w:t>
      </w:r>
      <w:r>
        <w:tab/>
      </w:r>
      <w:r>
        <w:fldChar w:fldCharType="begin" w:fldLock="1"/>
      </w:r>
      <w:r>
        <w:instrText xml:space="preserve"> PAGEREF _Toc24031257 \h </w:instrText>
      </w:r>
      <w:r>
        <w:fldChar w:fldCharType="separate"/>
      </w:r>
      <w:r>
        <w:t>1</w:t>
      </w:r>
      <w:r>
        <w:fldChar w:fldCharType="end"/>
      </w:r>
      <w:r>
        <w:fldChar w:fldCharType="end"/>
      </w:r>
    </w:p>
    <w:p w14:paraId="097A4817">
      <w:pPr>
        <w:pStyle w:val="20"/>
        <w:tabs>
          <w:tab w:val="right" w:leader="dot" w:pos="9241"/>
          <w:tab w:val="clear" w:pos="9242"/>
        </w:tabs>
        <w:spacing w:before="78" w:after="78"/>
        <w:rPr>
          <w:rFonts w:ascii="Calibri" w:hAnsi="Calibri"/>
          <w:szCs w:val="22"/>
        </w:rPr>
      </w:pPr>
      <w:r>
        <w:fldChar w:fldCharType="begin"/>
      </w:r>
      <w:r>
        <w:instrText xml:space="preserve"> HYPERLINK \l "_Toc24031258" </w:instrText>
      </w:r>
      <w:r>
        <w:fldChar w:fldCharType="separate"/>
      </w:r>
      <w:r>
        <w:rPr>
          <w:rStyle w:val="39"/>
          <w:color w:val="auto"/>
          <w:u w:val="none"/>
        </w:rPr>
        <w:t>3</w:t>
      </w:r>
      <w:r>
        <w:rPr>
          <w:rStyle w:val="39"/>
          <w:rFonts w:hint="eastAsia"/>
          <w:color w:val="auto"/>
          <w:u w:val="none"/>
        </w:rPr>
        <w:t>　术语和定义</w:t>
      </w:r>
      <w:r>
        <w:tab/>
      </w:r>
      <w:r>
        <w:fldChar w:fldCharType="begin" w:fldLock="1"/>
      </w:r>
      <w:r>
        <w:instrText xml:space="preserve"> PAGEREF _Toc24031258 \h </w:instrText>
      </w:r>
      <w:r>
        <w:fldChar w:fldCharType="separate"/>
      </w:r>
      <w:r>
        <w:t>1</w:t>
      </w:r>
      <w:r>
        <w:fldChar w:fldCharType="end"/>
      </w:r>
      <w:r>
        <w:fldChar w:fldCharType="end"/>
      </w:r>
    </w:p>
    <w:p w14:paraId="4BF6AEA8">
      <w:pPr>
        <w:pStyle w:val="20"/>
        <w:tabs>
          <w:tab w:val="right" w:leader="dot" w:pos="9241"/>
          <w:tab w:val="clear" w:pos="9242"/>
        </w:tabs>
        <w:spacing w:before="78" w:after="78"/>
        <w:rPr>
          <w:rFonts w:ascii="Calibri" w:hAnsi="Calibri"/>
          <w:szCs w:val="22"/>
        </w:rPr>
      </w:pPr>
      <w:r>
        <w:fldChar w:fldCharType="begin"/>
      </w:r>
      <w:r>
        <w:instrText xml:space="preserve"> HYPERLINK \l "_Toc24031259" </w:instrText>
      </w:r>
      <w:r>
        <w:fldChar w:fldCharType="separate"/>
      </w:r>
      <w:r>
        <w:rPr>
          <w:rStyle w:val="39"/>
          <w:color w:val="auto"/>
          <w:u w:val="none"/>
        </w:rPr>
        <w:t>4</w:t>
      </w:r>
      <w:r>
        <w:rPr>
          <w:rStyle w:val="39"/>
          <w:rFonts w:hint="eastAsia"/>
          <w:color w:val="auto"/>
          <w:u w:val="none"/>
        </w:rPr>
        <w:t>　地理标志保护范围</w:t>
      </w:r>
      <w:r>
        <w:tab/>
      </w:r>
      <w:r>
        <w:rPr>
          <w:rFonts w:hint="eastAsia"/>
          <w:lang w:val="en-US" w:eastAsia="zh-CN"/>
        </w:rPr>
        <w:t>2</w:t>
      </w:r>
      <w:r>
        <w:rPr>
          <w:rFonts w:hint="eastAsia"/>
        </w:rPr>
        <w:fldChar w:fldCharType="end"/>
      </w:r>
    </w:p>
    <w:p w14:paraId="36FBBD76">
      <w:pPr>
        <w:pStyle w:val="20"/>
        <w:tabs>
          <w:tab w:val="right" w:leader="dot" w:pos="9241"/>
          <w:tab w:val="clear" w:pos="9242"/>
        </w:tabs>
        <w:spacing w:before="78" w:after="78"/>
        <w:rPr>
          <w:rFonts w:ascii="Calibri" w:hAnsi="Calibri"/>
          <w:szCs w:val="22"/>
        </w:rPr>
      </w:pPr>
      <w:r>
        <w:fldChar w:fldCharType="begin"/>
      </w:r>
      <w:r>
        <w:instrText xml:space="preserve"> HYPERLINK \l "_Toc24031260" </w:instrText>
      </w:r>
      <w:r>
        <w:fldChar w:fldCharType="separate"/>
      </w:r>
      <w:r>
        <w:rPr>
          <w:rStyle w:val="39"/>
          <w:color w:val="auto"/>
          <w:u w:val="none"/>
        </w:rPr>
        <w:t>5</w:t>
      </w:r>
      <w:r>
        <w:rPr>
          <w:rStyle w:val="39"/>
          <w:rFonts w:hint="eastAsia"/>
          <w:color w:val="auto"/>
          <w:u w:val="none"/>
        </w:rPr>
        <w:t>　要求</w:t>
      </w:r>
      <w:r>
        <w:tab/>
      </w:r>
      <w:r>
        <w:rPr>
          <w:rFonts w:hint="eastAsia"/>
        </w:rPr>
        <w:t>2</w:t>
      </w:r>
      <w:r>
        <w:rPr>
          <w:rFonts w:hint="eastAsia"/>
        </w:rPr>
        <w:fldChar w:fldCharType="end"/>
      </w:r>
    </w:p>
    <w:p w14:paraId="1D1BC142">
      <w:pPr>
        <w:pStyle w:val="20"/>
        <w:tabs>
          <w:tab w:val="right" w:leader="dot" w:pos="9241"/>
          <w:tab w:val="clear" w:pos="9242"/>
        </w:tabs>
        <w:spacing w:before="78" w:after="78"/>
        <w:rPr>
          <w:rFonts w:ascii="Calibri" w:hAnsi="Calibri"/>
          <w:szCs w:val="22"/>
        </w:rPr>
      </w:pPr>
      <w:r>
        <w:fldChar w:fldCharType="begin"/>
      </w:r>
      <w:r>
        <w:instrText xml:space="preserve"> HYPERLINK \l "_Toc24031262" </w:instrText>
      </w:r>
      <w:r>
        <w:fldChar w:fldCharType="separate"/>
      </w:r>
      <w:r>
        <w:rPr>
          <w:rFonts w:hint="eastAsia"/>
        </w:rPr>
        <w:t>6</w:t>
      </w:r>
      <w:r>
        <w:rPr>
          <w:rStyle w:val="39"/>
          <w:rFonts w:hint="eastAsia"/>
          <w:color w:val="auto"/>
          <w:u w:val="none"/>
        </w:rPr>
        <w:t>　检验规则</w:t>
      </w:r>
      <w:r>
        <w:tab/>
      </w:r>
      <w:r>
        <w:rPr>
          <w:rFonts w:hint="eastAsia"/>
          <w:lang w:val="en-US" w:eastAsia="zh-CN"/>
        </w:rPr>
        <w:t>4</w:t>
      </w:r>
      <w:r>
        <w:rPr>
          <w:rFonts w:hint="eastAsia"/>
        </w:rPr>
        <w:fldChar w:fldCharType="end"/>
      </w:r>
    </w:p>
    <w:p w14:paraId="00A9DE2B">
      <w:pPr>
        <w:pStyle w:val="20"/>
        <w:tabs>
          <w:tab w:val="right" w:leader="dot" w:pos="9241"/>
          <w:tab w:val="clear" w:pos="9242"/>
        </w:tabs>
        <w:spacing w:before="78" w:after="78"/>
        <w:rPr>
          <w:rFonts w:ascii="Calibri" w:hAnsi="Calibri"/>
          <w:szCs w:val="22"/>
        </w:rPr>
      </w:pPr>
      <w:r>
        <w:fldChar w:fldCharType="begin"/>
      </w:r>
      <w:r>
        <w:instrText xml:space="preserve"> HYPERLINK \l "_Toc24031263" </w:instrText>
      </w:r>
      <w:r>
        <w:fldChar w:fldCharType="separate"/>
      </w:r>
      <w:r>
        <w:rPr>
          <w:rFonts w:hint="eastAsia"/>
        </w:rPr>
        <w:t>7</w:t>
      </w:r>
      <w:r>
        <w:rPr>
          <w:rStyle w:val="39"/>
          <w:rFonts w:hint="eastAsia"/>
          <w:color w:val="auto"/>
          <w:u w:val="none"/>
        </w:rPr>
        <w:t>　标识、包装、运输、贮存</w:t>
      </w:r>
      <w:r>
        <w:tab/>
      </w:r>
      <w:r>
        <w:rPr>
          <w:rFonts w:hint="eastAsia"/>
          <w:lang w:val="en-US" w:eastAsia="zh-CN"/>
        </w:rPr>
        <w:t>4</w:t>
      </w:r>
      <w:r>
        <w:rPr>
          <w:rFonts w:hint="eastAsia"/>
        </w:rPr>
        <w:fldChar w:fldCharType="end"/>
      </w:r>
    </w:p>
    <w:p w14:paraId="19594239">
      <w:pPr>
        <w:pStyle w:val="20"/>
        <w:spacing w:before="78" w:after="78"/>
      </w:pPr>
      <w:r>
        <w:fldChar w:fldCharType="begin"/>
      </w:r>
      <w:r>
        <w:instrText xml:space="preserve"> HYPERLINK \l "_Toc24031264" </w:instrText>
      </w:r>
      <w:r>
        <w:fldChar w:fldCharType="separate"/>
      </w:r>
      <w:r>
        <w:rPr>
          <w:rStyle w:val="39"/>
          <w:rFonts w:hint="eastAsia"/>
          <w:color w:val="auto"/>
          <w:u w:val="none"/>
        </w:rPr>
        <w:t>附录A（规范性）会昌桔柚地理标志产品保护范围图</w:t>
      </w:r>
      <w:r>
        <w:tab/>
      </w:r>
      <w:r>
        <w:rPr>
          <w:rFonts w:hint="eastAsia"/>
          <w:lang w:val="en-US" w:eastAsia="zh-CN"/>
        </w:rPr>
        <w:t>6</w:t>
      </w:r>
      <w:r>
        <w:rPr>
          <w:rFonts w:hint="eastAsia"/>
        </w:rPr>
        <w:fldChar w:fldCharType="end"/>
      </w:r>
    </w:p>
    <w:p w14:paraId="02F3E202">
      <w:pPr>
        <w:pStyle w:val="20"/>
        <w:spacing w:before="78" w:after="78"/>
        <w:rPr>
          <w:rFonts w:ascii="等线" w:hAnsi="等线" w:eastAsia="等线"/>
          <w:szCs w:val="22"/>
        </w:rPr>
      </w:pPr>
      <w:r>
        <w:rPr>
          <w:rFonts w:hint="eastAsia"/>
        </w:rPr>
        <w:t>附录B（规范性）会昌桔柚生产技术规程</w:t>
      </w:r>
      <w:r>
        <w:tab/>
      </w:r>
      <w:r>
        <w:rPr>
          <w:rFonts w:hint="eastAsia"/>
          <w:lang w:val="en-US" w:eastAsia="zh-CN"/>
        </w:rPr>
        <w:t>7</w:t>
      </w:r>
      <w:r>
        <w:fldChar w:fldCharType="begin" w:fldLock="1"/>
      </w:r>
      <w:r>
        <w:instrText xml:space="preserve"> </w:instrText>
      </w:r>
      <w:r>
        <w:rPr>
          <w:rFonts w:hint="eastAsia"/>
        </w:rPr>
        <w:instrText xml:space="preserve">TOC \h \z \t"前言、引言标题,1,参考文献、索引标题,1,章标题,1,参考文献,1,附录标识,1,一级条标题, 3" \* MERGEFORMAT</w:instrText>
      </w:r>
      <w:r>
        <w:instrText xml:space="preserve"> </w:instrText>
      </w:r>
      <w:r>
        <w:fldChar w:fldCharType="separate"/>
      </w:r>
    </w:p>
    <w:p w14:paraId="20C85B5D">
      <w:pPr>
        <w:pStyle w:val="24"/>
      </w:pPr>
      <w:r>
        <w:fldChar w:fldCharType="end"/>
      </w:r>
    </w:p>
    <w:p w14:paraId="143E4EE9">
      <w:pPr>
        <w:pStyle w:val="24"/>
      </w:pPr>
    </w:p>
    <w:p w14:paraId="0173052B">
      <w:pPr>
        <w:pStyle w:val="24"/>
      </w:pPr>
    </w:p>
    <w:p w14:paraId="2C32F19D">
      <w:pPr>
        <w:pStyle w:val="24"/>
      </w:pPr>
    </w:p>
    <w:p w14:paraId="063ADD3C">
      <w:pPr>
        <w:pStyle w:val="24"/>
      </w:pPr>
    </w:p>
    <w:p w14:paraId="738DCC3B">
      <w:pPr>
        <w:pStyle w:val="112"/>
        <w:sectPr>
          <w:headerReference r:id="rId5" w:type="default"/>
          <w:footerReference r:id="rId6" w:type="default"/>
          <w:footerReference r:id="rId7" w:type="even"/>
          <w:pgSz w:w="11906" w:h="16838"/>
          <w:pgMar w:top="567" w:right="1134" w:bottom="1134" w:left="1417" w:header="1418" w:footer="1134" w:gutter="0"/>
          <w:pgNumType w:start="1"/>
          <w:cols w:space="720" w:num="1"/>
          <w:formProt w:val="0"/>
          <w:docGrid w:type="lines" w:linePitch="312" w:charSpace="0"/>
        </w:sectPr>
      </w:pPr>
      <w:bookmarkStart w:id="8" w:name="_Toc28088079"/>
    </w:p>
    <w:p w14:paraId="107D0566">
      <w:pPr>
        <w:pStyle w:val="112"/>
      </w:pPr>
      <w:r>
        <w:rPr>
          <w:rFonts w:hint="eastAsia"/>
        </w:rPr>
        <w:t>前</w:t>
      </w:r>
      <w:bookmarkStart w:id="9" w:name="BKQY"/>
      <w:r>
        <w:rPr>
          <w:rFonts w:hAnsi="黑体"/>
        </w:rPr>
        <w:t>  </w:t>
      </w:r>
      <w:r>
        <w:rPr>
          <w:rFonts w:hint="eastAsia"/>
        </w:rPr>
        <w:t>言</w:t>
      </w:r>
      <w:bookmarkEnd w:id="8"/>
      <w:bookmarkEnd w:id="9"/>
    </w:p>
    <w:p w14:paraId="14945230">
      <w:pPr>
        <w:pStyle w:val="24"/>
        <w:ind w:firstLine="0" w:firstLineChars="0"/>
      </w:pPr>
    </w:p>
    <w:bookmarkEnd w:id="6"/>
    <w:p w14:paraId="4EBFC4DE">
      <w:pPr>
        <w:ind w:firstLine="420" w:firstLineChars="200"/>
        <w:rPr>
          <w:rFonts w:ascii="宋体" w:hAnsi="宋体" w:cs="宋体"/>
        </w:rPr>
      </w:pPr>
      <w:bookmarkStart w:id="10" w:name="StandardName"/>
      <w:r>
        <w:rPr>
          <w:rFonts w:hint="eastAsia" w:ascii="宋体" w:hAnsi="宋体" w:cs="宋体"/>
        </w:rPr>
        <w:t>本文件按照GB/T 1.1-2020《标准化工作导则 第1部分：标准化文件的结构和起草规则》的规定起草。</w:t>
      </w:r>
    </w:p>
    <w:p w14:paraId="040181E5">
      <w:pPr>
        <w:ind w:firstLine="420" w:firstLineChars="200"/>
        <w:rPr>
          <w:color w:val="auto"/>
        </w:rPr>
      </w:pPr>
      <w:r>
        <w:rPr>
          <w:rFonts w:hint="eastAsia" w:ascii="宋体" w:hAnsi="宋体" w:cs="宋体"/>
        </w:rPr>
        <w:t>本文件代替DB36/T 1417-2021《地理标志产品 会昌桔柚》，与DB36/T 1417-2021相比，</w:t>
      </w:r>
      <w:r>
        <w:rPr>
          <w:rFonts w:hint="eastAsia"/>
          <w:color w:val="auto"/>
        </w:rPr>
        <w:t>除编辑性改动外，主要技术变化如下：</w:t>
      </w:r>
    </w:p>
    <w:p w14:paraId="5F88115E">
      <w:pPr>
        <w:pStyle w:val="51"/>
        <w:numPr>
          <w:ilvl w:val="0"/>
          <w:numId w:val="0"/>
        </w:numPr>
        <w:ind w:left="420" w:leftChars="0"/>
        <w:rPr>
          <w:color w:val="auto"/>
        </w:rPr>
      </w:pPr>
      <w:r>
        <w:rPr>
          <w:rFonts w:hint="eastAsia" w:hAnsi="宋体" w:cs="宋体"/>
          <w:color w:val="auto"/>
        </w:rPr>
        <w:t>——</w:t>
      </w:r>
      <w:r>
        <w:rPr>
          <w:rFonts w:hint="eastAsia"/>
          <w:color w:val="auto"/>
        </w:rPr>
        <w:t>修改了“范围”（见1,2021版的1）；</w:t>
      </w:r>
    </w:p>
    <w:p w14:paraId="24AC0CF8">
      <w:pPr>
        <w:pStyle w:val="51"/>
        <w:numPr>
          <w:ilvl w:val="0"/>
          <w:numId w:val="0"/>
        </w:numPr>
        <w:ind w:left="420" w:leftChars="0"/>
        <w:rPr>
          <w:color w:val="auto"/>
        </w:rPr>
      </w:pPr>
      <w:r>
        <w:rPr>
          <w:rFonts w:hint="eastAsia" w:hAnsi="宋体" w:cs="宋体"/>
          <w:color w:val="auto"/>
        </w:rPr>
        <w:t>——</w:t>
      </w:r>
      <w:r>
        <w:rPr>
          <w:rFonts w:hint="eastAsia"/>
          <w:color w:val="auto"/>
        </w:rPr>
        <w:t>修改了“规范性引用文件”（见2,2021版的2）；</w:t>
      </w:r>
    </w:p>
    <w:p w14:paraId="7F842EA6">
      <w:pPr>
        <w:pStyle w:val="51"/>
        <w:numPr>
          <w:ilvl w:val="0"/>
          <w:numId w:val="0"/>
        </w:numPr>
        <w:ind w:left="420" w:leftChars="0"/>
        <w:rPr>
          <w:color w:val="auto"/>
        </w:rPr>
      </w:pPr>
      <w:r>
        <w:rPr>
          <w:rFonts w:hint="eastAsia" w:hAnsi="宋体" w:cs="宋体"/>
          <w:color w:val="auto"/>
        </w:rPr>
        <w:t>——</w:t>
      </w:r>
      <w:r>
        <w:rPr>
          <w:rFonts w:hint="eastAsia"/>
          <w:color w:val="auto"/>
        </w:rPr>
        <w:t>修改了“术语和定义”的部分内容（见3.1,2021版的3.1）；</w:t>
      </w:r>
    </w:p>
    <w:p w14:paraId="3D4B97BA">
      <w:pPr>
        <w:pStyle w:val="51"/>
        <w:numPr>
          <w:ilvl w:val="0"/>
          <w:numId w:val="0"/>
        </w:numPr>
        <w:ind w:left="420" w:leftChars="0"/>
        <w:rPr>
          <w:color w:val="auto"/>
        </w:rPr>
      </w:pPr>
      <w:r>
        <w:rPr>
          <w:rFonts w:hint="eastAsia" w:hAnsi="宋体" w:cs="宋体"/>
          <w:color w:val="auto"/>
        </w:rPr>
        <w:t>——</w:t>
      </w:r>
      <w:r>
        <w:rPr>
          <w:rFonts w:hint="eastAsia"/>
          <w:color w:val="auto"/>
        </w:rPr>
        <w:t>修改了“地理标志产品保护范围”的表述（见4,2021版的4）；</w:t>
      </w:r>
    </w:p>
    <w:p w14:paraId="05F8C3C7">
      <w:pPr>
        <w:pStyle w:val="51"/>
        <w:numPr>
          <w:ilvl w:val="0"/>
          <w:numId w:val="0"/>
        </w:numPr>
        <w:ind w:left="420" w:leftChars="0"/>
        <w:rPr>
          <w:color w:val="auto"/>
        </w:rPr>
      </w:pPr>
      <w:r>
        <w:rPr>
          <w:rFonts w:hint="eastAsia" w:hAnsi="宋体" w:cs="宋体"/>
          <w:color w:val="auto"/>
        </w:rPr>
        <w:t>——</w:t>
      </w:r>
      <w:r>
        <w:rPr>
          <w:rFonts w:hint="eastAsia"/>
          <w:color w:val="auto"/>
        </w:rPr>
        <w:t>修改了“标识、包装、运输和贮存”中“标识”部分内容（见7.1,2021版的7.1）；</w:t>
      </w:r>
    </w:p>
    <w:p w14:paraId="19856488">
      <w:pPr>
        <w:pStyle w:val="51"/>
        <w:numPr>
          <w:ilvl w:val="0"/>
          <w:numId w:val="0"/>
        </w:numPr>
        <w:ind w:left="420" w:leftChars="0"/>
        <w:rPr>
          <w:color w:val="auto"/>
        </w:rPr>
      </w:pPr>
      <w:r>
        <w:rPr>
          <w:rFonts w:hint="eastAsia" w:hAnsi="宋体" w:cs="宋体"/>
          <w:color w:val="auto"/>
        </w:rPr>
        <w:t>——</w:t>
      </w:r>
      <w:r>
        <w:rPr>
          <w:rFonts w:hint="eastAsia"/>
          <w:color w:val="auto"/>
        </w:rPr>
        <w:t>修改了“附录 A（规范性）会昌桔柚地理标志产品产地范围图”（见附录 A,2021版的附录 A）。</w:t>
      </w:r>
    </w:p>
    <w:p w14:paraId="2BCFCBA0">
      <w:pPr>
        <w:ind w:firstLine="420"/>
        <w:rPr>
          <w:rFonts w:ascii="宋体" w:hAnsi="宋体" w:cs="宋体"/>
          <w:color w:val="auto"/>
        </w:rPr>
      </w:pPr>
      <w:r>
        <w:rPr>
          <w:rFonts w:hint="eastAsia" w:ascii="宋体" w:hAnsi="宋体" w:cs="宋体"/>
          <w:color w:val="auto"/>
        </w:rPr>
        <w:t>本文件的某些内容可能涉及专利。本文件的发布机构不承担识别专利的责任。</w:t>
      </w:r>
    </w:p>
    <w:p w14:paraId="6D818AAE">
      <w:pPr>
        <w:pStyle w:val="24"/>
        <w:rPr>
          <w:color w:val="auto"/>
        </w:rPr>
      </w:pPr>
      <w:r>
        <w:rPr>
          <w:rFonts w:hint="eastAsia"/>
          <w:color w:val="auto"/>
        </w:rPr>
        <w:t>本文件由江西省市场监督管理局提出。</w:t>
      </w:r>
    </w:p>
    <w:p w14:paraId="58DF2F2C">
      <w:pPr>
        <w:pStyle w:val="24"/>
        <w:rPr>
          <w:color w:val="auto"/>
        </w:rPr>
      </w:pPr>
      <w:r>
        <w:rPr>
          <w:rFonts w:hint="eastAsia"/>
          <w:color w:val="auto"/>
        </w:rPr>
        <w:t>本文件由江西省地理标志产品标准化技术委员会（JX/TC43）归口。</w:t>
      </w:r>
    </w:p>
    <w:p w14:paraId="6C35D9CE">
      <w:pPr>
        <w:ind w:firstLine="420" w:firstLineChars="200"/>
        <w:rPr>
          <w:rFonts w:ascii="宋体" w:hAnsi="宋体" w:cs="宋体"/>
          <w:color w:val="auto"/>
        </w:rPr>
      </w:pPr>
      <w:r>
        <w:rPr>
          <w:rFonts w:hint="eastAsia" w:ascii="宋体" w:hAnsi="宋体" w:cs="宋体"/>
          <w:color w:val="auto"/>
        </w:rPr>
        <w:t>本文件起草单位：</w:t>
      </w:r>
      <w:r>
        <w:rPr>
          <w:rFonts w:hint="eastAsia"/>
          <w:color w:val="auto"/>
          <w:spacing w:val="-5"/>
          <w:szCs w:val="21"/>
        </w:rPr>
        <w:t>会昌县市场监督管理局、江西华中标准化事务所、会昌县果业局、会昌县果业协会、会昌县农业农村局、赣州市产品质量监督检验所</w:t>
      </w:r>
      <w:r>
        <w:rPr>
          <w:color w:val="auto"/>
          <w:spacing w:val="-3"/>
          <w:szCs w:val="21"/>
        </w:rPr>
        <w:t>。</w:t>
      </w:r>
    </w:p>
    <w:p w14:paraId="3D60A72D">
      <w:pPr>
        <w:pStyle w:val="24"/>
        <w:rPr>
          <w:rFonts w:hint="default" w:hAnsi="宋体" w:eastAsia="宋体" w:cs="宋体"/>
          <w:color w:val="auto"/>
          <w:lang w:val="en-US" w:eastAsia="zh-CN"/>
        </w:rPr>
      </w:pPr>
      <w:r>
        <w:rPr>
          <w:rFonts w:hint="eastAsia" w:hAnsi="宋体" w:cs="宋体"/>
          <w:color w:val="auto"/>
        </w:rPr>
        <w:t>本文件主要起草人：吴荣政</w:t>
      </w:r>
      <w:r>
        <w:rPr>
          <w:rFonts w:hint="eastAsia" w:hAnsi="宋体" w:cs="宋体"/>
          <w:color w:val="auto"/>
          <w:lang w:eastAsia="zh-CN"/>
        </w:rPr>
        <w:t>、</w:t>
      </w:r>
      <w:r>
        <w:rPr>
          <w:rFonts w:hint="eastAsia" w:hAnsi="宋体" w:cs="宋体"/>
          <w:color w:val="auto"/>
        </w:rPr>
        <w:t>钟培菁</w:t>
      </w:r>
      <w:r>
        <w:rPr>
          <w:rFonts w:hint="eastAsia" w:hAnsi="宋体" w:cs="宋体"/>
          <w:color w:val="auto"/>
          <w:lang w:eastAsia="zh-CN"/>
        </w:rPr>
        <w:t>、</w:t>
      </w:r>
      <w:r>
        <w:rPr>
          <w:rFonts w:hint="eastAsia" w:hAnsi="宋体" w:cs="宋体"/>
          <w:color w:val="auto"/>
        </w:rPr>
        <w:t>邹志鹏</w:t>
      </w:r>
      <w:r>
        <w:rPr>
          <w:rFonts w:hint="eastAsia" w:hAnsi="宋体" w:cs="宋体"/>
          <w:color w:val="auto"/>
          <w:lang w:eastAsia="zh-CN"/>
        </w:rPr>
        <w:t>、</w:t>
      </w:r>
      <w:r>
        <w:rPr>
          <w:rFonts w:hint="eastAsia" w:hAnsi="宋体" w:cs="宋体"/>
          <w:color w:val="auto"/>
        </w:rPr>
        <w:t>文方华</w:t>
      </w:r>
      <w:r>
        <w:rPr>
          <w:rFonts w:hint="eastAsia" w:hAnsi="宋体" w:cs="宋体"/>
          <w:color w:val="auto"/>
          <w:lang w:eastAsia="zh-CN"/>
        </w:rPr>
        <w:t>、</w:t>
      </w:r>
      <w:r>
        <w:rPr>
          <w:rFonts w:hint="eastAsia" w:hAnsi="宋体" w:cs="宋体"/>
          <w:color w:val="auto"/>
        </w:rPr>
        <w:t>郑进生</w:t>
      </w:r>
      <w:r>
        <w:rPr>
          <w:rFonts w:hint="eastAsia" w:hAnsi="宋体" w:cs="宋体"/>
          <w:color w:val="auto"/>
          <w:lang w:eastAsia="zh-CN"/>
        </w:rPr>
        <w:t>、</w:t>
      </w:r>
      <w:r>
        <w:rPr>
          <w:rFonts w:hint="eastAsia" w:hAnsi="宋体" w:cs="宋体"/>
          <w:color w:val="auto"/>
        </w:rPr>
        <w:t>杨碧霞</w:t>
      </w:r>
      <w:r>
        <w:rPr>
          <w:rFonts w:hint="eastAsia" w:hAnsi="宋体" w:cs="宋体"/>
          <w:color w:val="auto"/>
          <w:lang w:eastAsia="zh-CN"/>
        </w:rPr>
        <w:t>、</w:t>
      </w:r>
      <w:r>
        <w:rPr>
          <w:rFonts w:hint="eastAsia" w:hAnsi="宋体" w:cs="宋体"/>
          <w:color w:val="auto"/>
          <w:lang w:val="en-US" w:eastAsia="zh-CN"/>
        </w:rPr>
        <w:t>徐青春、</w:t>
      </w:r>
      <w:bookmarkStart w:id="49" w:name="_GoBack"/>
      <w:bookmarkEnd w:id="49"/>
      <w:r>
        <w:rPr>
          <w:rFonts w:hint="eastAsia" w:hAnsi="宋体" w:cs="宋体"/>
          <w:color w:val="auto"/>
          <w:lang w:val="en-US" w:eastAsia="zh-CN"/>
        </w:rPr>
        <w:t>唐雨。</w:t>
      </w:r>
    </w:p>
    <w:p w14:paraId="371F132E">
      <w:pPr>
        <w:pStyle w:val="24"/>
        <w:rPr>
          <w:rFonts w:hAnsi="宋体" w:cs="宋体"/>
          <w:color w:val="auto"/>
        </w:rPr>
      </w:pPr>
      <w:r>
        <w:rPr>
          <w:rFonts w:hint="eastAsia" w:hAnsi="宋体" w:cs="宋体"/>
          <w:color w:val="auto"/>
        </w:rPr>
        <w:t>本文件及其所代替文件的历次版本发布情况为:</w:t>
      </w:r>
    </w:p>
    <w:p w14:paraId="39152E25">
      <w:pPr>
        <w:pStyle w:val="24"/>
        <w:rPr>
          <w:rFonts w:hAnsi="宋体" w:cs="宋体"/>
          <w:color w:val="auto"/>
        </w:rPr>
      </w:pPr>
      <w:r>
        <w:rPr>
          <w:rFonts w:hint="eastAsia" w:hAnsi="宋体" w:cs="宋体"/>
          <w:color w:val="auto"/>
        </w:rPr>
        <w:t>——2021年首次发布为DB36/T 1417-2021;</w:t>
      </w:r>
    </w:p>
    <w:p w14:paraId="54C62C97">
      <w:pPr>
        <w:pStyle w:val="24"/>
        <w:rPr>
          <w:rFonts w:hAnsi="宋体" w:cs="宋体"/>
          <w:color w:val="auto"/>
        </w:rPr>
      </w:pPr>
      <w:r>
        <w:rPr>
          <w:rFonts w:hint="eastAsia" w:hAnsi="宋体" w:cs="宋体"/>
          <w:color w:val="auto"/>
        </w:rPr>
        <w:t>——此次为第一次修订。</w:t>
      </w:r>
    </w:p>
    <w:p w14:paraId="32D28CF3">
      <w:pPr>
        <w:pStyle w:val="24"/>
        <w:rPr>
          <w:rFonts w:hAnsi="宋体" w:cs="宋体"/>
        </w:rPr>
      </w:pPr>
    </w:p>
    <w:p w14:paraId="453FA1AE">
      <w:pPr>
        <w:pStyle w:val="24"/>
        <w:rPr>
          <w:rFonts w:hAnsi="宋体" w:cs="宋体"/>
        </w:rPr>
      </w:pPr>
    </w:p>
    <w:p w14:paraId="2FD50D71">
      <w:pPr>
        <w:pStyle w:val="24"/>
        <w:rPr>
          <w:rFonts w:hAnsi="宋体" w:cs="宋体"/>
        </w:rPr>
        <w:sectPr>
          <w:headerReference r:id="rId8" w:type="default"/>
          <w:footerReference r:id="rId9" w:type="default"/>
          <w:pgSz w:w="11906" w:h="16838"/>
          <w:pgMar w:top="567" w:right="1134" w:bottom="1134" w:left="1418" w:header="1418" w:footer="1134" w:gutter="0"/>
          <w:pgNumType w:fmt="upperRoman" w:start="1"/>
          <w:cols w:space="720" w:num="1"/>
          <w:formProt w:val="0"/>
          <w:docGrid w:type="lines" w:linePitch="312" w:charSpace="0"/>
        </w:sectPr>
      </w:pPr>
    </w:p>
    <w:p w14:paraId="6DB0D2EE">
      <w:pPr>
        <w:pStyle w:val="67"/>
      </w:pPr>
      <w:r>
        <w:rPr>
          <w:rFonts w:hint="eastAsia"/>
        </w:rPr>
        <w:t>地理标志产品 会昌桔柚</w:t>
      </w:r>
    </w:p>
    <w:p w14:paraId="68E8FC09">
      <w:pPr>
        <w:pStyle w:val="47"/>
        <w:rPr>
          <w:color w:val="auto"/>
        </w:rPr>
      </w:pPr>
      <w:bookmarkStart w:id="11" w:name="_Toc24030483"/>
      <w:bookmarkStart w:id="12" w:name="_Toc24030452"/>
      <w:bookmarkStart w:id="13" w:name="_Toc24030501"/>
      <w:bookmarkStart w:id="14" w:name="_Toc24031256"/>
      <w:r>
        <w:rPr>
          <w:rFonts w:hint="eastAsia"/>
        </w:rPr>
        <w:t>范围</w:t>
      </w:r>
      <w:bookmarkEnd w:id="11"/>
      <w:bookmarkEnd w:id="12"/>
      <w:bookmarkEnd w:id="13"/>
      <w:bookmarkEnd w:id="14"/>
    </w:p>
    <w:p w14:paraId="3C096511">
      <w:pPr>
        <w:pStyle w:val="10"/>
        <w:spacing w:before="69" w:line="261" w:lineRule="auto"/>
        <w:ind w:right="57" w:firstLine="420" w:firstLineChars="200"/>
        <w:rPr>
          <w:color w:val="auto"/>
          <w:sz w:val="21"/>
          <w:szCs w:val="21"/>
        </w:rPr>
      </w:pPr>
      <w:r>
        <w:rPr>
          <w:color w:val="auto"/>
          <w:sz w:val="21"/>
          <w:szCs w:val="21"/>
        </w:rPr>
        <w:t>本文件规定了</w:t>
      </w:r>
      <w:r>
        <w:rPr>
          <w:rFonts w:hint="eastAsia"/>
          <w:color w:val="auto"/>
          <w:sz w:val="21"/>
          <w:szCs w:val="21"/>
          <w:lang w:eastAsia="zh-CN"/>
        </w:rPr>
        <w:t>地理标志产品</w:t>
      </w:r>
      <w:r>
        <w:rPr>
          <w:color w:val="auto"/>
          <w:sz w:val="21"/>
          <w:szCs w:val="21"/>
        </w:rPr>
        <w:t>会昌桔柚的术语和定义、地理标志产品保护范围、要求、检验规则和标</w:t>
      </w:r>
      <w:r>
        <w:rPr>
          <w:rFonts w:hint="eastAsia"/>
          <w:color w:val="auto"/>
          <w:sz w:val="21"/>
          <w:szCs w:val="21"/>
          <w:lang w:eastAsia="zh-CN"/>
        </w:rPr>
        <w:t>识</w:t>
      </w:r>
      <w:r>
        <w:rPr>
          <w:color w:val="auto"/>
          <w:sz w:val="21"/>
          <w:szCs w:val="21"/>
        </w:rPr>
        <w:t>、包装、运输、贮存。</w:t>
      </w:r>
    </w:p>
    <w:p w14:paraId="50CC5C92">
      <w:pPr>
        <w:pStyle w:val="24"/>
        <w:rPr>
          <w:color w:val="auto"/>
          <w:szCs w:val="21"/>
        </w:rPr>
      </w:pPr>
      <w:r>
        <w:rPr>
          <w:color w:val="auto"/>
          <w:szCs w:val="21"/>
        </w:rPr>
        <w:t>本文件适用于</w:t>
      </w:r>
      <w:r>
        <w:rPr>
          <w:rFonts w:hint="eastAsia"/>
          <w:color w:val="auto"/>
          <w:szCs w:val="21"/>
        </w:rPr>
        <w:t>地理标志产品</w:t>
      </w:r>
      <w:r>
        <w:rPr>
          <w:color w:val="auto"/>
          <w:szCs w:val="21"/>
        </w:rPr>
        <w:t>会昌桔柚</w:t>
      </w:r>
      <w:r>
        <w:rPr>
          <w:rFonts w:hint="eastAsia"/>
          <w:color w:val="auto"/>
          <w:szCs w:val="21"/>
        </w:rPr>
        <w:t>鲜果的生产、流通、检验，</w:t>
      </w:r>
      <w:r>
        <w:rPr>
          <w:rFonts w:hint="eastAsia"/>
          <w:color w:val="auto"/>
        </w:rPr>
        <w:t>亦适用于地理标志产品会昌桔柚的产权保护和管理。</w:t>
      </w:r>
    </w:p>
    <w:p w14:paraId="0405F341">
      <w:pPr>
        <w:pStyle w:val="47"/>
        <w:rPr>
          <w:color w:val="auto"/>
        </w:rPr>
      </w:pPr>
      <w:bookmarkStart w:id="15" w:name="_Toc24031257"/>
      <w:bookmarkStart w:id="16" w:name="_Toc24030453"/>
      <w:bookmarkStart w:id="17" w:name="_Toc24030484"/>
      <w:bookmarkStart w:id="18" w:name="_Toc24030502"/>
      <w:r>
        <w:rPr>
          <w:rFonts w:hint="eastAsia"/>
          <w:color w:val="auto"/>
        </w:rPr>
        <w:t>规范性引用文件</w:t>
      </w:r>
      <w:bookmarkEnd w:id="15"/>
      <w:bookmarkEnd w:id="16"/>
      <w:bookmarkEnd w:id="17"/>
      <w:bookmarkEnd w:id="18"/>
    </w:p>
    <w:p w14:paraId="18FEA1DF">
      <w:pPr>
        <w:pStyle w:val="24"/>
        <w:rPr>
          <w:color w:val="auto"/>
        </w:rPr>
      </w:pPr>
      <w:r>
        <w:rPr>
          <w:rFonts w:hint="eastAsia"/>
          <w:color w:val="auto"/>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70371BC5">
      <w:pPr>
        <w:pStyle w:val="24"/>
        <w:rPr>
          <w:color w:val="auto"/>
          <w:szCs w:val="21"/>
        </w:rPr>
      </w:pPr>
      <w:r>
        <w:rPr>
          <w:rFonts w:hint="eastAsia"/>
          <w:color w:val="auto"/>
          <w:szCs w:val="21"/>
        </w:rPr>
        <w:t>GB/T 191  包装储运图示标志</w:t>
      </w:r>
    </w:p>
    <w:p w14:paraId="3012AA20">
      <w:pPr>
        <w:pStyle w:val="24"/>
        <w:rPr>
          <w:color w:val="auto"/>
          <w:szCs w:val="21"/>
        </w:rPr>
      </w:pPr>
      <w:r>
        <w:rPr>
          <w:rFonts w:hint="eastAsia"/>
          <w:color w:val="auto"/>
          <w:szCs w:val="21"/>
        </w:rPr>
        <w:drawing>
          <wp:anchor distT="0" distB="0" distL="0" distR="0" simplePos="0" relativeHeight="251671552" behindDoc="1" locked="0" layoutInCell="1" allowOverlap="1">
            <wp:simplePos x="0" y="0"/>
            <wp:positionH relativeFrom="column">
              <wp:posOffset>7226300</wp:posOffset>
            </wp:positionH>
            <wp:positionV relativeFrom="paragraph">
              <wp:posOffset>297180</wp:posOffset>
            </wp:positionV>
            <wp:extent cx="4038600" cy="2540000"/>
            <wp:effectExtent l="0" t="0" r="0" b="12700"/>
            <wp:wrapNone/>
            <wp:docPr id="9" name="IM 10"/>
            <wp:cNvGraphicFramePr/>
            <a:graphic xmlns:a="http://schemas.openxmlformats.org/drawingml/2006/main">
              <a:graphicData uri="http://schemas.openxmlformats.org/drawingml/2006/picture">
                <pic:pic xmlns:pic="http://schemas.openxmlformats.org/drawingml/2006/picture">
                  <pic:nvPicPr>
                    <pic:cNvPr id="9" name="IM 10"/>
                    <pic:cNvPicPr/>
                  </pic:nvPicPr>
                  <pic:blipFill>
                    <a:blip r:embed="rId13"/>
                    <a:stretch>
                      <a:fillRect/>
                    </a:stretch>
                  </pic:blipFill>
                  <pic:spPr>
                    <a:xfrm>
                      <a:off x="0" y="0"/>
                      <a:ext cx="4038600" cy="2540000"/>
                    </a:xfrm>
                    <a:prstGeom prst="rect">
                      <a:avLst/>
                    </a:prstGeom>
                  </pic:spPr>
                </pic:pic>
              </a:graphicData>
            </a:graphic>
          </wp:anchor>
        </w:drawing>
      </w:r>
      <w:r>
        <w:rPr>
          <w:rFonts w:hint="eastAsia"/>
          <w:color w:val="auto"/>
          <w:szCs w:val="21"/>
        </w:rPr>
        <w:t>GB 2761  食品安全国家标准 食品中真菌毒素限量</w:t>
      </w:r>
    </w:p>
    <w:p w14:paraId="5DADA2EC">
      <w:pPr>
        <w:pStyle w:val="24"/>
        <w:rPr>
          <w:color w:val="auto"/>
          <w:szCs w:val="21"/>
        </w:rPr>
      </w:pPr>
      <w:r>
        <w:rPr>
          <w:rFonts w:hint="eastAsia"/>
          <w:color w:val="auto"/>
          <w:szCs w:val="21"/>
        </w:rPr>
        <w:t>GB 2762  食品安全国家标准 食品中污染物限量</w:t>
      </w:r>
    </w:p>
    <w:p w14:paraId="0FBE70ED">
      <w:pPr>
        <w:pStyle w:val="24"/>
        <w:rPr>
          <w:color w:val="auto"/>
          <w:szCs w:val="21"/>
        </w:rPr>
      </w:pPr>
      <w:r>
        <w:rPr>
          <w:rFonts w:hint="eastAsia"/>
          <w:color w:val="auto"/>
          <w:szCs w:val="21"/>
        </w:rPr>
        <w:t>GB 2763  食品安全国家标准 食品中农药最大残留限量</w:t>
      </w:r>
    </w:p>
    <w:p w14:paraId="6E9BE4D5">
      <w:pPr>
        <w:pStyle w:val="24"/>
        <w:rPr>
          <w:color w:val="auto"/>
          <w:szCs w:val="21"/>
        </w:rPr>
      </w:pPr>
      <w:r>
        <w:rPr>
          <w:rFonts w:hint="eastAsia"/>
          <w:color w:val="auto"/>
          <w:szCs w:val="21"/>
        </w:rPr>
        <w:t>GB 5009.7  食品安全国家标准 食品中还原糖的测定</w:t>
      </w:r>
    </w:p>
    <w:p w14:paraId="195E121E">
      <w:pPr>
        <w:pStyle w:val="24"/>
        <w:rPr>
          <w:color w:val="auto"/>
          <w:szCs w:val="21"/>
        </w:rPr>
      </w:pPr>
      <w:r>
        <w:rPr>
          <w:rFonts w:hint="eastAsia"/>
          <w:color w:val="auto"/>
          <w:szCs w:val="21"/>
        </w:rPr>
        <w:t xml:space="preserve">GB/T 8210  柑桔鲜果检验方法 </w:t>
      </w:r>
    </w:p>
    <w:p w14:paraId="5A69D198">
      <w:pPr>
        <w:pStyle w:val="24"/>
        <w:rPr>
          <w:color w:val="auto"/>
          <w:szCs w:val="21"/>
        </w:rPr>
      </w:pPr>
      <w:r>
        <w:rPr>
          <w:rFonts w:hint="eastAsia"/>
          <w:color w:val="auto"/>
          <w:szCs w:val="21"/>
        </w:rPr>
        <w:t>GB/T 12947  鲜柑橘</w:t>
      </w:r>
    </w:p>
    <w:p w14:paraId="7663331B">
      <w:pPr>
        <w:pStyle w:val="24"/>
        <w:rPr>
          <w:color w:val="auto"/>
          <w:szCs w:val="21"/>
        </w:rPr>
      </w:pPr>
      <w:r>
        <w:rPr>
          <w:rFonts w:hint="eastAsia"/>
          <w:color w:val="auto"/>
          <w:szCs w:val="21"/>
        </w:rPr>
        <w:t>GB/T 13607  苹果、柑桔包装</w:t>
      </w:r>
    </w:p>
    <w:p w14:paraId="71B14EC8">
      <w:pPr>
        <w:pStyle w:val="3"/>
        <w:widowControl/>
        <w:shd w:val="clear" w:color="auto" w:fill="FFFFFF"/>
        <w:spacing w:before="0" w:beforeAutospacing="0" w:after="0" w:afterAutospacing="0"/>
        <w:ind w:firstLine="420" w:firstLineChars="200"/>
        <w:rPr>
          <w:color w:val="auto"/>
          <w:sz w:val="21"/>
          <w:szCs w:val="21"/>
        </w:rPr>
      </w:pPr>
      <w:r>
        <w:rPr>
          <w:rFonts w:hint="eastAsia" w:cs="宋体"/>
          <w:b w:val="0"/>
          <w:bCs w:val="0"/>
          <w:color w:val="auto"/>
          <w:sz w:val="21"/>
          <w:szCs w:val="21"/>
        </w:rPr>
        <w:t>GB/T 18455  包装回收标志</w:t>
      </w:r>
    </w:p>
    <w:p w14:paraId="1B9D231A">
      <w:pPr>
        <w:pStyle w:val="24"/>
        <w:rPr>
          <w:color w:val="auto"/>
        </w:rPr>
      </w:pPr>
      <w:r>
        <w:rPr>
          <w:rFonts w:hint="eastAsia"/>
          <w:color w:val="auto"/>
        </w:rPr>
        <w:t xml:space="preserve">JJF 1070  定量包装商品净含量计量检验规则 </w:t>
      </w:r>
    </w:p>
    <w:p w14:paraId="15012777">
      <w:pPr>
        <w:pStyle w:val="24"/>
        <w:rPr>
          <w:color w:val="auto"/>
        </w:rPr>
      </w:pPr>
      <w:r>
        <w:rPr>
          <w:rFonts w:hint="eastAsia"/>
          <w:color w:val="auto"/>
        </w:rPr>
        <w:t>NY/T 1189  柑橘储藏</w:t>
      </w:r>
    </w:p>
    <w:p w14:paraId="1CD77F0E">
      <w:pPr>
        <w:pStyle w:val="24"/>
        <w:rPr>
          <w:color w:val="auto"/>
        </w:rPr>
      </w:pPr>
      <w:r>
        <w:rPr>
          <w:rFonts w:hint="eastAsia"/>
          <w:color w:val="auto"/>
        </w:rPr>
        <w:t>NY/T 5344.4  无公害食品  产品抽样规范  第4部分：水果</w:t>
      </w:r>
    </w:p>
    <w:p w14:paraId="014B33B5">
      <w:pPr>
        <w:pStyle w:val="24"/>
        <w:rPr>
          <w:color w:val="auto"/>
        </w:rPr>
      </w:pPr>
      <w:r>
        <w:rPr>
          <w:rFonts w:hint="eastAsia"/>
          <w:color w:val="auto"/>
        </w:rPr>
        <w:t>《定量包装商品计量监督管理办法》（国家市场监督管理总局令第70号）</w:t>
      </w:r>
    </w:p>
    <w:p w14:paraId="438EB393">
      <w:pPr>
        <w:pStyle w:val="47"/>
        <w:numPr>
          <w:ilvl w:val="0"/>
          <w:numId w:val="0"/>
        </w:numPr>
        <w:rPr>
          <w:color w:val="auto"/>
        </w:rPr>
      </w:pPr>
      <w:bookmarkStart w:id="19" w:name="_Toc24030504"/>
      <w:bookmarkStart w:id="20" w:name="_Toc24030455"/>
      <w:bookmarkStart w:id="21" w:name="_Toc24031259"/>
      <w:bookmarkStart w:id="22" w:name="_Toc24030486"/>
      <w:r>
        <w:rPr>
          <w:rFonts w:hint="eastAsia"/>
          <w:color w:val="auto"/>
        </w:rPr>
        <w:t>3  术语和定义</w:t>
      </w:r>
      <w:bookmarkEnd w:id="19"/>
      <w:bookmarkEnd w:id="20"/>
      <w:bookmarkEnd w:id="21"/>
      <w:bookmarkEnd w:id="22"/>
    </w:p>
    <w:p w14:paraId="3450A79B">
      <w:pPr>
        <w:pStyle w:val="10"/>
        <w:spacing w:before="69" w:line="220" w:lineRule="auto"/>
        <w:ind w:left="419"/>
        <w:rPr>
          <w:color w:val="auto"/>
          <w:sz w:val="21"/>
          <w:szCs w:val="21"/>
        </w:rPr>
      </w:pPr>
      <w:r>
        <w:rPr>
          <w:color w:val="auto"/>
          <w:spacing w:val="-2"/>
          <w:sz w:val="21"/>
          <w:szCs w:val="21"/>
        </w:rPr>
        <w:t>GB/T 12947界定的以及下列术语和定义适</w:t>
      </w:r>
      <w:r>
        <w:rPr>
          <w:color w:val="auto"/>
          <w:spacing w:val="-3"/>
          <w:sz w:val="21"/>
          <w:szCs w:val="21"/>
        </w:rPr>
        <w:t>用于本文件。</w:t>
      </w:r>
    </w:p>
    <w:p w14:paraId="06F03D3F">
      <w:pPr>
        <w:pStyle w:val="50"/>
        <w:numPr>
          <w:ilvl w:val="0"/>
          <w:numId w:val="0"/>
        </w:numPr>
        <w:rPr>
          <w:color w:val="auto"/>
          <w:spacing w:val="-3"/>
        </w:rPr>
      </w:pPr>
      <w:bookmarkStart w:id="23" w:name="_Toc24030456"/>
      <w:r>
        <w:rPr>
          <w:rFonts w:hint="eastAsia"/>
          <w:color w:val="auto"/>
        </w:rPr>
        <w:t xml:space="preserve">3.1  会昌桔柚 </w:t>
      </w:r>
      <w:r>
        <w:rPr>
          <w:color w:val="auto"/>
          <w:spacing w:val="-2"/>
        </w:rPr>
        <w:t>Huichang orange grapefr</w:t>
      </w:r>
      <w:r>
        <w:rPr>
          <w:color w:val="auto"/>
          <w:spacing w:val="-3"/>
        </w:rPr>
        <w:t>uit</w:t>
      </w:r>
      <w:bookmarkEnd w:id="23"/>
    </w:p>
    <w:p w14:paraId="5A482030">
      <w:pPr>
        <w:pStyle w:val="10"/>
        <w:spacing w:before="225" w:line="260" w:lineRule="auto"/>
        <w:ind w:left="2" w:right="57" w:firstLine="420"/>
        <w:rPr>
          <w:color w:val="auto"/>
          <w:sz w:val="21"/>
          <w:szCs w:val="21"/>
        </w:rPr>
      </w:pPr>
      <w:r>
        <w:rPr>
          <w:rFonts w:hint="eastAsia"/>
          <w:color w:val="auto"/>
          <w:sz w:val="21"/>
          <w:szCs w:val="21"/>
        </w:rPr>
        <w:t>在</w:t>
      </w:r>
      <w:r>
        <w:rPr>
          <w:rFonts w:hint="eastAsia"/>
          <w:color w:val="auto"/>
          <w:sz w:val="21"/>
          <w:szCs w:val="21"/>
          <w:lang w:eastAsia="zh-CN"/>
        </w:rPr>
        <w:t>附录A范围内</w:t>
      </w:r>
      <w:r>
        <w:rPr>
          <w:color w:val="auto"/>
          <w:sz w:val="21"/>
          <w:szCs w:val="21"/>
        </w:rPr>
        <w:t>生产</w:t>
      </w:r>
      <w:r>
        <w:rPr>
          <w:rFonts w:hint="eastAsia"/>
          <w:color w:val="auto"/>
          <w:sz w:val="21"/>
          <w:szCs w:val="21"/>
          <w:lang w:eastAsia="zh-CN"/>
        </w:rPr>
        <w:t>，符合本文件要求</w:t>
      </w:r>
      <w:r>
        <w:rPr>
          <w:color w:val="auto"/>
          <w:sz w:val="21"/>
          <w:szCs w:val="21"/>
        </w:rPr>
        <w:t>的桔柚鲜果。</w:t>
      </w:r>
    </w:p>
    <w:p w14:paraId="24D5C6DF">
      <w:pPr>
        <w:pStyle w:val="10"/>
        <w:spacing w:before="225" w:line="260" w:lineRule="auto"/>
        <w:ind w:right="57"/>
        <w:rPr>
          <w:rFonts w:ascii="黑体" w:hAnsi="黑体" w:eastAsia="黑体" w:cs="黑体"/>
          <w:color w:val="auto"/>
          <w:spacing w:val="-4"/>
          <w:sz w:val="21"/>
          <w:szCs w:val="21"/>
        </w:rPr>
      </w:pPr>
      <w:r>
        <w:rPr>
          <w:rFonts w:hint="eastAsia" w:ascii="黑体" w:hAnsi="黑体" w:eastAsia="黑体" w:cs="黑体"/>
          <w:color w:val="auto"/>
          <w:spacing w:val="-3"/>
          <w:sz w:val="21"/>
          <w:szCs w:val="21"/>
          <w:lang w:eastAsia="zh-CN"/>
        </w:rPr>
        <w:t xml:space="preserve">3.2  油斑  </w:t>
      </w:r>
      <w:r>
        <w:rPr>
          <w:rFonts w:hint="eastAsia" w:ascii="黑体" w:hAnsi="黑体" w:eastAsia="黑体" w:cs="黑体"/>
          <w:color w:val="auto"/>
          <w:spacing w:val="-4"/>
          <w:sz w:val="21"/>
          <w:szCs w:val="21"/>
        </w:rPr>
        <w:t>oil</w:t>
      </w:r>
      <w:r>
        <w:rPr>
          <w:rFonts w:hint="eastAsia" w:ascii="黑体" w:hAnsi="黑体" w:eastAsia="黑体" w:cs="黑体"/>
          <w:color w:val="auto"/>
          <w:spacing w:val="14"/>
          <w:sz w:val="21"/>
          <w:szCs w:val="21"/>
        </w:rPr>
        <w:t xml:space="preserve"> </w:t>
      </w:r>
      <w:r>
        <w:rPr>
          <w:rFonts w:hint="eastAsia" w:ascii="黑体" w:hAnsi="黑体" w:eastAsia="黑体" w:cs="黑体"/>
          <w:color w:val="auto"/>
          <w:spacing w:val="-4"/>
          <w:sz w:val="21"/>
          <w:szCs w:val="21"/>
        </w:rPr>
        <w:t>spot</w:t>
      </w:r>
    </w:p>
    <w:p w14:paraId="6F12BC32">
      <w:pPr>
        <w:pStyle w:val="10"/>
        <w:spacing w:before="257" w:line="220" w:lineRule="auto"/>
        <w:ind w:firstLine="404" w:firstLineChars="200"/>
        <w:rPr>
          <w:color w:val="auto"/>
          <w:spacing w:val="-4"/>
          <w:sz w:val="21"/>
          <w:szCs w:val="21"/>
          <w:lang w:eastAsia="zh-CN"/>
        </w:rPr>
      </w:pPr>
      <w:r>
        <w:rPr>
          <w:color w:val="auto"/>
          <w:spacing w:val="-4"/>
          <w:sz w:val="21"/>
          <w:szCs w:val="21"/>
        </w:rPr>
        <w:t>果面油胞病变产生的色斑。</w:t>
      </w:r>
    </w:p>
    <w:p w14:paraId="3CCEA837">
      <w:pPr>
        <w:pStyle w:val="47"/>
        <w:numPr>
          <w:ilvl w:val="0"/>
          <w:numId w:val="0"/>
        </w:numPr>
        <w:rPr>
          <w:color w:val="auto"/>
        </w:rPr>
      </w:pPr>
      <w:r>
        <w:rPr>
          <w:rFonts w:hint="eastAsia"/>
          <w:color w:val="auto"/>
        </w:rPr>
        <w:t xml:space="preserve"> </w:t>
      </w:r>
      <w:bookmarkStart w:id="24" w:name="_Toc24030503"/>
      <w:bookmarkStart w:id="25" w:name="_Toc24031258"/>
      <w:bookmarkStart w:id="26" w:name="_Toc24030454"/>
      <w:bookmarkStart w:id="27" w:name="_Toc24030485"/>
      <w:r>
        <w:rPr>
          <w:rFonts w:hint="eastAsia"/>
          <w:color w:val="auto"/>
        </w:rPr>
        <w:t>4  地理标志产品产地范围</w:t>
      </w:r>
      <w:bookmarkEnd w:id="24"/>
      <w:bookmarkEnd w:id="25"/>
      <w:bookmarkEnd w:id="26"/>
      <w:bookmarkEnd w:id="27"/>
    </w:p>
    <w:p w14:paraId="72DBA315">
      <w:pPr>
        <w:pStyle w:val="47"/>
        <w:numPr>
          <w:ilvl w:val="0"/>
          <w:numId w:val="0"/>
        </w:numPr>
        <w:ind w:firstLine="420" w:firstLineChars="200"/>
        <w:rPr>
          <w:color w:val="auto"/>
        </w:rPr>
      </w:pPr>
      <w:r>
        <w:rPr>
          <w:rFonts w:hint="eastAsia" w:ascii="宋体" w:hAnsi="宋体" w:eastAsia="宋体" w:cs="宋体"/>
          <w:color w:val="auto"/>
        </w:rPr>
        <w:t>地理标志产品会昌桔柚的产地范围限定于国家知识产权行政主管部门根据《地理标志产品保护规定》发布的批准公告中的产地范围，</w:t>
      </w:r>
      <w:r>
        <w:rPr>
          <w:rFonts w:hint="eastAsia" w:ascii="宋体" w:hAnsi="宋体" w:eastAsia="宋体" w:cs="宋体"/>
          <w:color w:val="auto"/>
          <w:szCs w:val="21"/>
        </w:rPr>
        <w:t>即江西省会昌县文武坝镇、筠门岭镇、周田镇、麻州镇、右水乡、高排乡、晓龙乡、西江镇、小密乡、庄口镇、珠兰乡、站塘乡、洞头乡、富城乡、清溪乡、永隆乡、庄埠乡、白鹅乡、中村乡共19个乡、镇现辖行政区域，见附录A。</w:t>
      </w:r>
      <w:r>
        <w:rPr>
          <w:rFonts w:hint="eastAsia" w:ascii="宋体" w:hAnsi="宋体" w:eastAsia="宋体" w:cs="宋体"/>
          <w:color w:val="auto"/>
        </w:rPr>
        <w:t xml:space="preserve">  </w:t>
      </w:r>
      <w:r>
        <w:rPr>
          <w:rFonts w:hint="eastAsia"/>
          <w:color w:val="auto"/>
        </w:rPr>
        <w:t xml:space="preserve">                                            </w:t>
      </w:r>
    </w:p>
    <w:p w14:paraId="01D3DC8F">
      <w:pPr>
        <w:pStyle w:val="47"/>
        <w:numPr>
          <w:ilvl w:val="0"/>
          <w:numId w:val="0"/>
        </w:numPr>
        <w:rPr>
          <w:color w:val="auto"/>
        </w:rPr>
      </w:pPr>
      <w:bookmarkStart w:id="28" w:name="_Toc24031260"/>
      <w:bookmarkStart w:id="29" w:name="_Toc24030505"/>
      <w:bookmarkStart w:id="30" w:name="_Toc24030487"/>
      <w:bookmarkStart w:id="31" w:name="_Toc24030457"/>
      <w:r>
        <w:rPr>
          <w:rFonts w:hint="eastAsia"/>
          <w:color w:val="auto"/>
        </w:rPr>
        <w:t>5  要求</w:t>
      </w:r>
      <w:bookmarkEnd w:id="28"/>
      <w:bookmarkEnd w:id="29"/>
      <w:bookmarkEnd w:id="30"/>
      <w:bookmarkEnd w:id="31"/>
      <w:bookmarkStart w:id="32" w:name="_Toc24030458"/>
    </w:p>
    <w:p w14:paraId="5FD503D9">
      <w:pPr>
        <w:pStyle w:val="47"/>
        <w:numPr>
          <w:ilvl w:val="0"/>
          <w:numId w:val="0"/>
        </w:numPr>
        <w:rPr>
          <w:color w:val="auto"/>
        </w:rPr>
      </w:pPr>
      <w:r>
        <w:rPr>
          <w:rFonts w:hint="eastAsia"/>
          <w:color w:val="auto"/>
        </w:rPr>
        <w:t xml:space="preserve">5.1  </w:t>
      </w:r>
      <w:bookmarkEnd w:id="32"/>
      <w:r>
        <w:rPr>
          <w:rFonts w:hint="eastAsia"/>
          <w:color w:val="auto"/>
        </w:rPr>
        <w:t>品种</w:t>
      </w:r>
    </w:p>
    <w:p w14:paraId="262FB9FE">
      <w:pPr>
        <w:pStyle w:val="24"/>
        <w:rPr>
          <w:color w:val="auto"/>
        </w:rPr>
      </w:pPr>
      <w:r>
        <w:rPr>
          <w:rFonts w:hint="eastAsia"/>
          <w:color w:val="auto"/>
        </w:rPr>
        <w:t>桔柚。</w:t>
      </w:r>
    </w:p>
    <w:p w14:paraId="1554AB2C">
      <w:pPr>
        <w:pStyle w:val="47"/>
        <w:numPr>
          <w:ilvl w:val="0"/>
          <w:numId w:val="0"/>
        </w:numPr>
        <w:rPr>
          <w:color w:val="auto"/>
        </w:rPr>
      </w:pPr>
      <w:r>
        <w:rPr>
          <w:rFonts w:hint="eastAsia"/>
          <w:color w:val="auto"/>
        </w:rPr>
        <w:t>5.2  种植环境</w:t>
      </w:r>
    </w:p>
    <w:p w14:paraId="2AC1E73D">
      <w:pPr>
        <w:pStyle w:val="24"/>
        <w:ind w:firstLine="0" w:firstLineChars="0"/>
        <w:rPr>
          <w:rFonts w:ascii="黑体" w:hAnsi="黑体" w:eastAsia="黑体" w:cs="黑体"/>
          <w:color w:val="auto"/>
        </w:rPr>
      </w:pPr>
      <w:r>
        <w:rPr>
          <w:rFonts w:hint="eastAsia" w:ascii="黑体" w:hAnsi="黑体" w:eastAsia="黑体" w:cs="黑体"/>
          <w:color w:val="auto"/>
        </w:rPr>
        <w:t>5.2.1 气候条件</w:t>
      </w:r>
    </w:p>
    <w:p w14:paraId="150F9A8C">
      <w:pPr>
        <w:pStyle w:val="10"/>
        <w:spacing w:before="218" w:line="265" w:lineRule="auto"/>
        <w:ind w:right="114" w:firstLine="420" w:firstLineChars="200"/>
        <w:rPr>
          <w:color w:val="auto"/>
          <w:sz w:val="21"/>
          <w:szCs w:val="21"/>
        </w:rPr>
      </w:pPr>
      <w:r>
        <w:rPr>
          <w:color w:val="auto"/>
          <w:sz w:val="21"/>
          <w:szCs w:val="21"/>
        </w:rPr>
        <w:t>年平均气温19℃~21℃, 1月份平均气温≥7.0℃, 极端低温≥-6.7℃。年均日照时长为1980h~  1990h，大于等于10℃的年有效积温为5800℃~6500℃,昼夜温差大，无霜期长。年降雨量1500㎜～1800  ㎜，年平均空气相对湿度为76％～80％。</w:t>
      </w:r>
    </w:p>
    <w:p w14:paraId="2578688E">
      <w:pPr>
        <w:pStyle w:val="10"/>
        <w:spacing w:before="218" w:line="265" w:lineRule="auto"/>
        <w:ind w:right="114"/>
        <w:rPr>
          <w:rFonts w:ascii="黑体" w:hAnsi="黑体" w:eastAsia="黑体" w:cs="黑体"/>
          <w:color w:val="auto"/>
          <w:sz w:val="21"/>
          <w:szCs w:val="21"/>
          <w:lang w:eastAsia="zh-CN"/>
        </w:rPr>
      </w:pPr>
      <w:r>
        <w:rPr>
          <w:rFonts w:hint="eastAsia" w:ascii="黑体" w:hAnsi="黑体" w:eastAsia="黑体" w:cs="黑体"/>
          <w:color w:val="auto"/>
          <w:sz w:val="21"/>
          <w:szCs w:val="21"/>
          <w:lang w:eastAsia="zh-CN"/>
        </w:rPr>
        <w:t>5.2.2  立地条件</w:t>
      </w:r>
    </w:p>
    <w:p w14:paraId="7CCDD854">
      <w:pPr>
        <w:pStyle w:val="10"/>
        <w:spacing w:before="218" w:line="265" w:lineRule="auto"/>
        <w:ind w:right="114" w:firstLine="420" w:firstLineChars="200"/>
        <w:rPr>
          <w:rFonts w:ascii="黑体" w:hAnsi="黑体" w:eastAsia="黑体" w:cs="黑体"/>
          <w:color w:val="auto"/>
          <w:sz w:val="21"/>
          <w:szCs w:val="21"/>
          <w:lang w:eastAsia="zh-CN"/>
        </w:rPr>
      </w:pPr>
      <w:r>
        <w:rPr>
          <w:color w:val="auto"/>
          <w:sz w:val="21"/>
          <w:szCs w:val="21"/>
        </w:rPr>
        <w:t>海拔100m～500m，土质为红壤土，有机质含量≥3.0%，土壤以pH5.5～6.5的弱酸性。</w:t>
      </w:r>
    </w:p>
    <w:p w14:paraId="3A7BC8EE">
      <w:pPr>
        <w:pStyle w:val="49"/>
        <w:numPr>
          <w:ilvl w:val="0"/>
          <w:numId w:val="0"/>
        </w:numPr>
        <w:spacing w:before="156" w:after="156"/>
        <w:rPr>
          <w:color w:val="auto"/>
        </w:rPr>
      </w:pPr>
      <w:r>
        <w:rPr>
          <w:rFonts w:hint="eastAsia"/>
          <w:color w:val="auto"/>
        </w:rPr>
        <w:t>5.3  栽培技术</w:t>
      </w:r>
    </w:p>
    <w:p w14:paraId="66D19AC4">
      <w:pPr>
        <w:ind w:firstLine="420" w:firstLineChars="200"/>
        <w:rPr>
          <w:rFonts w:ascii="宋体" w:hAnsi="宋体" w:cs="宋体"/>
          <w:color w:val="auto"/>
        </w:rPr>
      </w:pPr>
      <w:r>
        <w:rPr>
          <w:rFonts w:hint="eastAsia" w:ascii="宋体" w:hAnsi="宋体" w:cs="宋体"/>
          <w:color w:val="auto"/>
        </w:rPr>
        <w:t>见附录B。</w:t>
      </w:r>
    </w:p>
    <w:p w14:paraId="4FC73B84">
      <w:pPr>
        <w:pStyle w:val="50"/>
        <w:numPr>
          <w:ilvl w:val="0"/>
          <w:numId w:val="0"/>
        </w:numPr>
        <w:rPr>
          <w:color w:val="auto"/>
        </w:rPr>
      </w:pPr>
      <w:bookmarkStart w:id="33" w:name="_Toc24030459"/>
      <w:r>
        <w:rPr>
          <w:rFonts w:hint="eastAsia"/>
          <w:color w:val="auto"/>
        </w:rPr>
        <w:t xml:space="preserve">5.4  </w:t>
      </w:r>
      <w:bookmarkEnd w:id="33"/>
      <w:r>
        <w:rPr>
          <w:rFonts w:hint="eastAsia"/>
          <w:color w:val="auto"/>
        </w:rPr>
        <w:t>品质指标</w:t>
      </w:r>
    </w:p>
    <w:p w14:paraId="5490B396">
      <w:pPr>
        <w:pStyle w:val="50"/>
        <w:numPr>
          <w:ilvl w:val="0"/>
          <w:numId w:val="0"/>
        </w:numPr>
        <w:rPr>
          <w:color w:val="auto"/>
        </w:rPr>
      </w:pPr>
      <w:r>
        <w:rPr>
          <w:rFonts w:hint="eastAsia"/>
          <w:color w:val="auto"/>
        </w:rPr>
        <w:t>5.4.1  等级划分</w:t>
      </w:r>
    </w:p>
    <w:p w14:paraId="71658B56">
      <w:pPr>
        <w:pStyle w:val="24"/>
        <w:rPr>
          <w:color w:val="auto"/>
          <w:szCs w:val="21"/>
        </w:rPr>
      </w:pPr>
      <w:r>
        <w:rPr>
          <w:color w:val="auto"/>
          <w:szCs w:val="21"/>
        </w:rPr>
        <w:t>按感官指标及理化指标分为一级、二级。</w:t>
      </w:r>
    </w:p>
    <w:p w14:paraId="4551CF99">
      <w:pPr>
        <w:rPr>
          <w:rFonts w:ascii="黑体" w:hAnsi="黑体" w:eastAsia="黑体" w:cs="黑体"/>
          <w:color w:val="auto"/>
        </w:rPr>
      </w:pPr>
      <w:r>
        <w:rPr>
          <w:rFonts w:hint="eastAsia" w:ascii="黑体" w:hAnsi="黑体" w:eastAsia="黑体" w:cs="黑体"/>
          <w:color w:val="auto"/>
        </w:rPr>
        <w:t xml:space="preserve">5.4.2  感官指标  </w:t>
      </w:r>
    </w:p>
    <w:p w14:paraId="433DDA4A">
      <w:pPr>
        <w:ind w:firstLine="420" w:firstLineChars="200"/>
        <w:rPr>
          <w:rFonts w:ascii="宋体" w:hAnsi="宋体" w:cs="宋体"/>
          <w:color w:val="auto"/>
        </w:rPr>
      </w:pPr>
      <w:r>
        <w:rPr>
          <w:rFonts w:hint="eastAsia" w:ascii="宋体" w:hAnsi="宋体" w:cs="宋体"/>
          <w:color w:val="auto"/>
        </w:rPr>
        <w:t>应符合表1的规定。</w:t>
      </w:r>
    </w:p>
    <w:p w14:paraId="121A8D8B">
      <w:pPr>
        <w:ind w:firstLine="420" w:firstLineChars="200"/>
        <w:jc w:val="center"/>
        <w:rPr>
          <w:rFonts w:ascii="宋体" w:hAnsi="宋体" w:cs="宋体"/>
          <w:color w:val="auto"/>
        </w:rPr>
      </w:pPr>
      <w:r>
        <w:rPr>
          <w:rFonts w:hint="eastAsia" w:ascii="黑体" w:hAnsi="黑体" w:eastAsia="黑体" w:cs="黑体"/>
          <w:color w:val="auto"/>
        </w:rPr>
        <w:t>表1  感官指标</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
        <w:gridCol w:w="3570"/>
        <w:gridCol w:w="3645"/>
        <w:gridCol w:w="1394"/>
      </w:tblGrid>
      <w:tr w14:paraId="04B20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vMerge w:val="restart"/>
            <w:vAlign w:val="center"/>
          </w:tcPr>
          <w:p w14:paraId="636EDF6B">
            <w:pPr>
              <w:jc w:val="center"/>
              <w:rPr>
                <w:rFonts w:ascii="宋体" w:hAnsi="宋体" w:cs="宋体"/>
                <w:color w:val="auto"/>
                <w:szCs w:val="21"/>
              </w:rPr>
            </w:pPr>
            <w:r>
              <w:rPr>
                <w:rFonts w:hint="eastAsia" w:ascii="黑体" w:hAnsi="黑体" w:eastAsia="黑体" w:cs="黑体"/>
                <w:color w:val="auto"/>
                <w:szCs w:val="21"/>
              </w:rPr>
              <w:t>项目</w:t>
            </w:r>
          </w:p>
        </w:tc>
        <w:tc>
          <w:tcPr>
            <w:tcW w:w="7215" w:type="dxa"/>
            <w:gridSpan w:val="2"/>
            <w:vAlign w:val="center"/>
          </w:tcPr>
          <w:p w14:paraId="3975B693">
            <w:pPr>
              <w:jc w:val="center"/>
              <w:rPr>
                <w:rFonts w:ascii="宋体" w:hAnsi="宋体" w:cs="宋体"/>
                <w:color w:val="auto"/>
                <w:szCs w:val="21"/>
              </w:rPr>
            </w:pPr>
            <w:r>
              <w:rPr>
                <w:rFonts w:hint="eastAsia" w:ascii="黑体" w:hAnsi="黑体" w:eastAsia="黑体" w:cs="黑体"/>
                <w:color w:val="auto"/>
                <w:szCs w:val="21"/>
              </w:rPr>
              <w:t>要求</w:t>
            </w:r>
          </w:p>
        </w:tc>
        <w:tc>
          <w:tcPr>
            <w:tcW w:w="1394" w:type="dxa"/>
            <w:vMerge w:val="restart"/>
            <w:vAlign w:val="center"/>
          </w:tcPr>
          <w:p w14:paraId="07DAB810">
            <w:pPr>
              <w:jc w:val="center"/>
              <w:rPr>
                <w:rFonts w:ascii="宋体" w:hAnsi="宋体" w:cs="宋体"/>
                <w:color w:val="auto"/>
                <w:szCs w:val="21"/>
              </w:rPr>
            </w:pPr>
            <w:r>
              <w:rPr>
                <w:rFonts w:hint="eastAsia" w:ascii="黑体" w:hAnsi="黑体" w:eastAsia="黑体" w:cs="黑体"/>
                <w:color w:val="auto"/>
                <w:szCs w:val="21"/>
              </w:rPr>
              <w:t>检验方法</w:t>
            </w:r>
          </w:p>
        </w:tc>
      </w:tr>
      <w:tr w14:paraId="7BBC9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vMerge w:val="continue"/>
            <w:vAlign w:val="center"/>
          </w:tcPr>
          <w:p w14:paraId="11F291A0">
            <w:pPr>
              <w:jc w:val="center"/>
              <w:rPr>
                <w:rFonts w:ascii="宋体" w:hAnsi="宋体" w:cs="宋体"/>
                <w:color w:val="auto"/>
                <w:szCs w:val="21"/>
              </w:rPr>
            </w:pPr>
          </w:p>
        </w:tc>
        <w:tc>
          <w:tcPr>
            <w:tcW w:w="3570" w:type="dxa"/>
            <w:vAlign w:val="center"/>
          </w:tcPr>
          <w:p w14:paraId="5564FB66">
            <w:pPr>
              <w:jc w:val="center"/>
              <w:rPr>
                <w:rFonts w:ascii="宋体" w:hAnsi="宋体" w:cs="宋体"/>
                <w:color w:val="auto"/>
                <w:szCs w:val="21"/>
              </w:rPr>
            </w:pPr>
            <w:r>
              <w:rPr>
                <w:rFonts w:hint="eastAsia" w:ascii="宋体" w:hAnsi="宋体" w:cs="宋体"/>
                <w:color w:val="auto"/>
                <w:szCs w:val="21"/>
              </w:rPr>
              <w:t>一级</w:t>
            </w:r>
          </w:p>
        </w:tc>
        <w:tc>
          <w:tcPr>
            <w:tcW w:w="3645" w:type="dxa"/>
            <w:vAlign w:val="center"/>
          </w:tcPr>
          <w:p w14:paraId="113B27EA">
            <w:pPr>
              <w:jc w:val="center"/>
              <w:rPr>
                <w:rFonts w:ascii="宋体" w:hAnsi="宋体" w:cs="宋体"/>
                <w:color w:val="auto"/>
                <w:szCs w:val="21"/>
              </w:rPr>
            </w:pPr>
            <w:r>
              <w:rPr>
                <w:rFonts w:hint="eastAsia" w:ascii="宋体" w:hAnsi="宋体" w:cs="宋体"/>
                <w:color w:val="auto"/>
                <w:szCs w:val="21"/>
              </w:rPr>
              <w:t>二级</w:t>
            </w:r>
          </w:p>
        </w:tc>
        <w:tc>
          <w:tcPr>
            <w:tcW w:w="1394" w:type="dxa"/>
            <w:vMerge w:val="continue"/>
            <w:vAlign w:val="center"/>
          </w:tcPr>
          <w:p w14:paraId="1B908E38">
            <w:pPr>
              <w:jc w:val="center"/>
              <w:rPr>
                <w:rFonts w:ascii="宋体" w:hAnsi="宋体" w:cs="宋体"/>
                <w:color w:val="auto"/>
                <w:szCs w:val="21"/>
              </w:rPr>
            </w:pPr>
          </w:p>
        </w:tc>
      </w:tr>
      <w:tr w14:paraId="772C9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vAlign w:val="center"/>
          </w:tcPr>
          <w:p w14:paraId="16696C3A">
            <w:pPr>
              <w:jc w:val="center"/>
              <w:rPr>
                <w:rFonts w:ascii="宋体" w:hAnsi="宋体" w:cs="宋体"/>
                <w:color w:val="auto"/>
                <w:szCs w:val="21"/>
              </w:rPr>
            </w:pPr>
            <w:r>
              <w:rPr>
                <w:rFonts w:hint="eastAsia" w:ascii="宋体" w:hAnsi="宋体" w:cs="宋体"/>
                <w:color w:val="auto"/>
                <w:szCs w:val="21"/>
              </w:rPr>
              <w:t>果形</w:t>
            </w:r>
          </w:p>
        </w:tc>
        <w:tc>
          <w:tcPr>
            <w:tcW w:w="7215" w:type="dxa"/>
            <w:gridSpan w:val="2"/>
            <w:vAlign w:val="center"/>
          </w:tcPr>
          <w:p w14:paraId="2CB09AAB">
            <w:pPr>
              <w:jc w:val="center"/>
              <w:rPr>
                <w:rFonts w:ascii="宋体" w:hAnsi="宋体" w:cs="宋体"/>
                <w:color w:val="auto"/>
                <w:szCs w:val="21"/>
              </w:rPr>
            </w:pPr>
            <w:r>
              <w:rPr>
                <w:rFonts w:hint="eastAsia" w:ascii="宋体" w:hAnsi="宋体" w:cs="宋体"/>
                <w:color w:val="auto"/>
                <w:szCs w:val="21"/>
              </w:rPr>
              <w:t>呈扁圆球形或圆球形，果梗部可略呈荸荠形</w:t>
            </w:r>
          </w:p>
        </w:tc>
        <w:tc>
          <w:tcPr>
            <w:tcW w:w="1394" w:type="dxa"/>
            <w:vMerge w:val="restart"/>
            <w:vAlign w:val="center"/>
          </w:tcPr>
          <w:p w14:paraId="1E5F79A2">
            <w:pPr>
              <w:jc w:val="center"/>
              <w:rPr>
                <w:rFonts w:ascii="宋体" w:hAnsi="宋体" w:cs="宋体"/>
                <w:color w:val="auto"/>
                <w:szCs w:val="21"/>
              </w:rPr>
            </w:pPr>
            <w:r>
              <w:rPr>
                <w:rFonts w:hint="eastAsia" w:ascii="宋体" w:hAnsi="宋体" w:cs="宋体"/>
                <w:color w:val="auto"/>
                <w:spacing w:val="-4"/>
                <w:szCs w:val="21"/>
              </w:rPr>
              <w:t>GB/T</w:t>
            </w:r>
            <w:r>
              <w:rPr>
                <w:rFonts w:hint="eastAsia" w:ascii="宋体" w:hAnsi="宋体" w:cs="宋体"/>
                <w:color w:val="auto"/>
                <w:spacing w:val="12"/>
                <w:szCs w:val="21"/>
              </w:rPr>
              <w:t xml:space="preserve"> </w:t>
            </w:r>
            <w:r>
              <w:rPr>
                <w:rFonts w:hint="eastAsia" w:ascii="宋体" w:hAnsi="宋体" w:cs="宋体"/>
                <w:color w:val="auto"/>
                <w:spacing w:val="-4"/>
                <w:szCs w:val="21"/>
              </w:rPr>
              <w:t>8210</w:t>
            </w:r>
          </w:p>
        </w:tc>
      </w:tr>
      <w:tr w14:paraId="56F97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vAlign w:val="center"/>
          </w:tcPr>
          <w:p w14:paraId="79A26226">
            <w:pPr>
              <w:jc w:val="center"/>
              <w:rPr>
                <w:rFonts w:ascii="宋体" w:hAnsi="宋体" w:cs="宋体"/>
                <w:color w:val="auto"/>
                <w:szCs w:val="21"/>
              </w:rPr>
            </w:pPr>
            <w:r>
              <w:rPr>
                <w:rFonts w:hint="eastAsia" w:ascii="宋体" w:hAnsi="宋体" w:cs="宋体"/>
                <w:color w:val="auto"/>
                <w:szCs w:val="21"/>
              </w:rPr>
              <w:t>果面</w:t>
            </w:r>
          </w:p>
        </w:tc>
        <w:tc>
          <w:tcPr>
            <w:tcW w:w="3570" w:type="dxa"/>
            <w:shd w:val="clear" w:color="auto" w:fill="auto"/>
          </w:tcPr>
          <w:p w14:paraId="07C74EE3">
            <w:pPr>
              <w:pStyle w:val="137"/>
              <w:spacing w:before="59" w:line="219" w:lineRule="auto"/>
              <w:ind w:left="543"/>
              <w:rPr>
                <w:color w:val="auto"/>
                <w:sz w:val="21"/>
                <w:szCs w:val="21"/>
                <w:lang w:eastAsia="zh-CN"/>
              </w:rPr>
            </w:pPr>
            <w:r>
              <w:rPr>
                <w:rFonts w:hint="eastAsia"/>
                <w:color w:val="auto"/>
                <w:sz w:val="21"/>
                <w:szCs w:val="21"/>
              </w:rPr>
              <w:t>新鲜光洁发亮，油胞细腻</w:t>
            </w:r>
          </w:p>
        </w:tc>
        <w:tc>
          <w:tcPr>
            <w:tcW w:w="3645" w:type="dxa"/>
            <w:shd w:val="clear" w:color="auto" w:fill="auto"/>
          </w:tcPr>
          <w:p w14:paraId="54BDB244">
            <w:pPr>
              <w:pStyle w:val="137"/>
              <w:spacing w:before="59" w:line="219" w:lineRule="auto"/>
              <w:ind w:left="739"/>
              <w:rPr>
                <w:color w:val="auto"/>
                <w:sz w:val="21"/>
                <w:szCs w:val="21"/>
                <w:lang w:eastAsia="zh-CN"/>
              </w:rPr>
            </w:pPr>
            <w:r>
              <w:rPr>
                <w:rFonts w:hint="eastAsia"/>
                <w:color w:val="auto"/>
                <w:sz w:val="21"/>
                <w:szCs w:val="21"/>
              </w:rPr>
              <w:t>光洁，油胞较粗大</w:t>
            </w:r>
          </w:p>
        </w:tc>
        <w:tc>
          <w:tcPr>
            <w:tcW w:w="1394" w:type="dxa"/>
            <w:vMerge w:val="continue"/>
          </w:tcPr>
          <w:p w14:paraId="74230EBE">
            <w:pPr>
              <w:rPr>
                <w:rFonts w:ascii="宋体" w:hAnsi="宋体" w:cs="宋体"/>
                <w:color w:val="auto"/>
                <w:szCs w:val="21"/>
              </w:rPr>
            </w:pPr>
          </w:p>
        </w:tc>
      </w:tr>
      <w:tr w14:paraId="6D2AB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vAlign w:val="center"/>
          </w:tcPr>
          <w:p w14:paraId="5C98E68C">
            <w:pPr>
              <w:jc w:val="center"/>
              <w:rPr>
                <w:rFonts w:ascii="宋体" w:hAnsi="宋体" w:cs="宋体"/>
                <w:color w:val="auto"/>
                <w:szCs w:val="21"/>
              </w:rPr>
            </w:pPr>
            <w:r>
              <w:rPr>
                <w:rFonts w:hint="eastAsia" w:ascii="宋体" w:hAnsi="宋体" w:cs="宋体"/>
                <w:color w:val="auto"/>
                <w:szCs w:val="21"/>
              </w:rPr>
              <w:t>果肉</w:t>
            </w:r>
          </w:p>
        </w:tc>
        <w:tc>
          <w:tcPr>
            <w:tcW w:w="7215" w:type="dxa"/>
            <w:gridSpan w:val="2"/>
            <w:vAlign w:val="center"/>
          </w:tcPr>
          <w:p w14:paraId="2632F882">
            <w:pPr>
              <w:jc w:val="center"/>
              <w:rPr>
                <w:rFonts w:ascii="宋体" w:hAnsi="宋体" w:cs="宋体"/>
                <w:color w:val="auto"/>
                <w:szCs w:val="21"/>
              </w:rPr>
            </w:pPr>
            <w:r>
              <w:rPr>
                <w:rFonts w:hint="eastAsia" w:ascii="宋体" w:hAnsi="宋体" w:cs="宋体"/>
                <w:color w:val="auto"/>
                <w:szCs w:val="21"/>
              </w:rPr>
              <w:t>橙黄色，肉质细嫩，清甜爽口、汁多化渣</w:t>
            </w:r>
          </w:p>
        </w:tc>
        <w:tc>
          <w:tcPr>
            <w:tcW w:w="1394" w:type="dxa"/>
            <w:vMerge w:val="continue"/>
          </w:tcPr>
          <w:p w14:paraId="18B925E6">
            <w:pPr>
              <w:rPr>
                <w:rFonts w:ascii="宋体" w:hAnsi="宋体" w:cs="宋体"/>
                <w:color w:val="auto"/>
                <w:szCs w:val="21"/>
              </w:rPr>
            </w:pPr>
          </w:p>
        </w:tc>
      </w:tr>
      <w:tr w14:paraId="43426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vAlign w:val="center"/>
          </w:tcPr>
          <w:p w14:paraId="2CE1D48D">
            <w:pPr>
              <w:jc w:val="center"/>
              <w:rPr>
                <w:rFonts w:ascii="宋体" w:hAnsi="宋体" w:cs="宋体"/>
                <w:color w:val="auto"/>
                <w:szCs w:val="21"/>
              </w:rPr>
            </w:pPr>
            <w:r>
              <w:rPr>
                <w:rFonts w:hint="eastAsia" w:ascii="宋体" w:hAnsi="宋体" w:cs="宋体"/>
                <w:color w:val="auto"/>
                <w:szCs w:val="21"/>
              </w:rPr>
              <w:t>色泽</w:t>
            </w:r>
          </w:p>
        </w:tc>
        <w:tc>
          <w:tcPr>
            <w:tcW w:w="3570" w:type="dxa"/>
            <w:shd w:val="clear" w:color="auto" w:fill="auto"/>
          </w:tcPr>
          <w:p w14:paraId="46612185">
            <w:pPr>
              <w:pStyle w:val="137"/>
              <w:spacing w:before="72" w:line="219" w:lineRule="auto"/>
              <w:ind w:left="145"/>
              <w:rPr>
                <w:color w:val="auto"/>
                <w:sz w:val="21"/>
                <w:szCs w:val="21"/>
                <w:lang w:eastAsia="zh-CN"/>
              </w:rPr>
            </w:pPr>
            <w:r>
              <w:rPr>
                <w:rFonts w:hint="eastAsia"/>
                <w:color w:val="auto"/>
                <w:sz w:val="21"/>
                <w:szCs w:val="21"/>
              </w:rPr>
              <w:t>金黄色，色泽均匀，着色率90%以上</w:t>
            </w:r>
          </w:p>
        </w:tc>
        <w:tc>
          <w:tcPr>
            <w:tcW w:w="3645" w:type="dxa"/>
            <w:shd w:val="clear" w:color="auto" w:fill="auto"/>
          </w:tcPr>
          <w:p w14:paraId="1CFF8057">
            <w:pPr>
              <w:pStyle w:val="137"/>
              <w:spacing w:before="72" w:line="219" w:lineRule="auto"/>
              <w:ind w:left="112"/>
              <w:rPr>
                <w:color w:val="auto"/>
                <w:sz w:val="21"/>
                <w:szCs w:val="21"/>
                <w:lang w:eastAsia="zh-CN"/>
              </w:rPr>
            </w:pPr>
            <w:r>
              <w:rPr>
                <w:rFonts w:hint="eastAsia"/>
                <w:color w:val="auto"/>
                <w:sz w:val="21"/>
                <w:szCs w:val="21"/>
                <w:lang w:eastAsia="zh-CN"/>
              </w:rPr>
              <w:drawing>
                <wp:anchor distT="0" distB="0" distL="0" distR="0" simplePos="0" relativeHeight="251677696" behindDoc="0" locked="0" layoutInCell="1" allowOverlap="1">
                  <wp:simplePos x="0" y="0"/>
                  <wp:positionH relativeFrom="rightMargin">
                    <wp:posOffset>4445</wp:posOffset>
                  </wp:positionH>
                  <wp:positionV relativeFrom="topMargin">
                    <wp:posOffset>5080</wp:posOffset>
                  </wp:positionV>
                  <wp:extent cx="6350" cy="199390"/>
                  <wp:effectExtent l="0" t="0" r="12700" b="10160"/>
                  <wp:wrapNone/>
                  <wp:docPr id="16" name="IM 14"/>
                  <wp:cNvGraphicFramePr/>
                  <a:graphic xmlns:a="http://schemas.openxmlformats.org/drawingml/2006/main">
                    <a:graphicData uri="http://schemas.openxmlformats.org/drawingml/2006/picture">
                      <pic:pic xmlns:pic="http://schemas.openxmlformats.org/drawingml/2006/picture">
                        <pic:nvPicPr>
                          <pic:cNvPr id="16" name="IM 14"/>
                          <pic:cNvPicPr/>
                        </pic:nvPicPr>
                        <pic:blipFill>
                          <a:blip r:embed="rId14"/>
                          <a:stretch>
                            <a:fillRect/>
                          </a:stretch>
                        </pic:blipFill>
                        <pic:spPr>
                          <a:xfrm>
                            <a:off x="0" y="0"/>
                            <a:ext cx="6350" cy="199644"/>
                          </a:xfrm>
                          <a:prstGeom prst="rect">
                            <a:avLst/>
                          </a:prstGeom>
                        </pic:spPr>
                      </pic:pic>
                    </a:graphicData>
                  </a:graphic>
                </wp:anchor>
              </w:drawing>
            </w:r>
            <w:r>
              <w:rPr>
                <w:rFonts w:hint="eastAsia"/>
                <w:color w:val="auto"/>
                <w:sz w:val="21"/>
                <w:szCs w:val="21"/>
              </w:rPr>
              <w:t>金黄色，色泽均匀，着色率80%</w:t>
            </w:r>
            <w:r>
              <w:rPr>
                <w:rFonts w:hint="eastAsia"/>
                <w:color w:val="auto"/>
                <w:sz w:val="21"/>
                <w:szCs w:val="21"/>
                <w:lang w:eastAsia="zh-CN"/>
              </w:rPr>
              <w:t>以</w:t>
            </w:r>
            <w:r>
              <w:rPr>
                <w:rFonts w:hint="eastAsia"/>
                <w:color w:val="auto"/>
                <w:sz w:val="21"/>
                <w:szCs w:val="21"/>
              </w:rPr>
              <w:t>上</w:t>
            </w:r>
          </w:p>
        </w:tc>
        <w:tc>
          <w:tcPr>
            <w:tcW w:w="1394" w:type="dxa"/>
            <w:vMerge w:val="continue"/>
          </w:tcPr>
          <w:p w14:paraId="59F74972">
            <w:pPr>
              <w:rPr>
                <w:rFonts w:ascii="宋体" w:hAnsi="宋体" w:cs="宋体"/>
                <w:color w:val="auto"/>
                <w:szCs w:val="21"/>
              </w:rPr>
            </w:pPr>
          </w:p>
        </w:tc>
      </w:tr>
    </w:tbl>
    <w:p w14:paraId="1E5F903E">
      <w:pPr>
        <w:ind w:firstLine="420" w:firstLineChars="200"/>
        <w:rPr>
          <w:rFonts w:ascii="宋体" w:hAnsi="宋体" w:cs="宋体"/>
          <w:color w:val="auto"/>
          <w:szCs w:val="21"/>
        </w:rPr>
      </w:pPr>
    </w:p>
    <w:p w14:paraId="1A8F4105">
      <w:pPr>
        <w:pStyle w:val="10"/>
        <w:spacing w:before="257" w:line="221" w:lineRule="auto"/>
        <w:jc w:val="center"/>
        <w:rPr>
          <w:rFonts w:ascii="黑体" w:hAnsi="黑体" w:eastAsia="黑体" w:cs="黑体"/>
          <w:color w:val="auto"/>
          <w:spacing w:val="-5"/>
          <w:sz w:val="21"/>
          <w:szCs w:val="21"/>
        </w:rPr>
      </w:pPr>
    </w:p>
    <w:p w14:paraId="4EBFA747">
      <w:pPr>
        <w:pStyle w:val="10"/>
        <w:spacing w:before="257" w:line="221" w:lineRule="auto"/>
        <w:jc w:val="center"/>
        <w:rPr>
          <w:rFonts w:ascii="黑体" w:hAnsi="黑体" w:eastAsia="黑体" w:cs="黑体"/>
          <w:sz w:val="21"/>
          <w:szCs w:val="21"/>
        </w:rPr>
      </w:pPr>
      <w:r>
        <w:rPr>
          <w:rFonts w:hint="eastAsia" w:ascii="黑体" w:hAnsi="黑体" w:eastAsia="黑体" w:cs="黑体"/>
          <w:spacing w:val="-5"/>
          <w:sz w:val="21"/>
          <w:szCs w:val="21"/>
        </w:rPr>
        <w:t>表</w:t>
      </w:r>
      <w:r>
        <w:rPr>
          <w:rFonts w:hint="eastAsia" w:ascii="黑体" w:hAnsi="黑体" w:eastAsia="黑体" w:cs="黑体"/>
          <w:spacing w:val="-26"/>
          <w:sz w:val="21"/>
          <w:szCs w:val="21"/>
        </w:rPr>
        <w:t xml:space="preserve"> </w:t>
      </w:r>
      <w:r>
        <w:rPr>
          <w:rFonts w:hint="eastAsia" w:ascii="黑体" w:hAnsi="黑体" w:eastAsia="黑体" w:cs="黑体"/>
          <w:spacing w:val="-5"/>
          <w:sz w:val="21"/>
          <w:szCs w:val="21"/>
        </w:rPr>
        <w:t>1  感官指标（续）</w:t>
      </w:r>
    </w:p>
    <w:p w14:paraId="2ED0CA6D">
      <w:pPr>
        <w:spacing w:line="165" w:lineRule="exact"/>
      </w:pPr>
    </w:p>
    <w:tbl>
      <w:tblPr>
        <w:tblStyle w:val="138"/>
        <w:tblW w:w="9565"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233"/>
        <w:gridCol w:w="3402"/>
        <w:gridCol w:w="2904"/>
        <w:gridCol w:w="2026"/>
      </w:tblGrid>
      <w:tr w14:paraId="5B94AE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7" w:hRule="atLeast"/>
        </w:trPr>
        <w:tc>
          <w:tcPr>
            <w:tcW w:w="1233" w:type="dxa"/>
            <w:vMerge w:val="restart"/>
            <w:tcBorders>
              <w:left w:val="single" w:color="000000" w:sz="10" w:space="0"/>
              <w:bottom w:val="nil"/>
              <w:right w:val="single" w:color="000000" w:sz="8" w:space="0"/>
            </w:tcBorders>
          </w:tcPr>
          <w:p w14:paraId="3CFD9D79">
            <w:pPr>
              <w:pStyle w:val="137"/>
              <w:spacing w:before="214" w:line="220" w:lineRule="auto"/>
              <w:jc w:val="center"/>
              <w:rPr>
                <w:sz w:val="21"/>
                <w:szCs w:val="21"/>
              </w:rPr>
            </w:pPr>
            <w:r>
              <w:rPr>
                <w:rFonts w:hint="eastAsia" w:ascii="黑体" w:hAnsi="黑体" w:eastAsia="黑体" w:cs="黑体"/>
                <w:spacing w:val="-7"/>
                <w:sz w:val="21"/>
                <w:szCs w:val="21"/>
              </w:rPr>
              <w:t>项目</w:t>
            </w:r>
          </w:p>
        </w:tc>
        <w:tc>
          <w:tcPr>
            <w:tcW w:w="6306" w:type="dxa"/>
            <w:gridSpan w:val="2"/>
            <w:tcBorders>
              <w:left w:val="single" w:color="000000" w:sz="8" w:space="0"/>
              <w:bottom w:val="single" w:color="000000" w:sz="8" w:space="0"/>
              <w:right w:val="single" w:color="000000" w:sz="8" w:space="0"/>
            </w:tcBorders>
          </w:tcPr>
          <w:p w14:paraId="02C580E8">
            <w:pPr>
              <w:pStyle w:val="137"/>
              <w:spacing w:before="57" w:line="221" w:lineRule="auto"/>
              <w:ind w:left="2813"/>
              <w:rPr>
                <w:sz w:val="21"/>
                <w:szCs w:val="21"/>
              </w:rPr>
            </w:pPr>
            <w:r>
              <w:rPr>
                <w:rFonts w:hint="eastAsia" w:ascii="黑体" w:hAnsi="黑体" w:eastAsia="黑体" w:cs="黑体"/>
                <w:spacing w:val="-6"/>
                <w:sz w:val="21"/>
                <w:szCs w:val="21"/>
              </w:rPr>
              <w:t>要求</w:t>
            </w:r>
          </w:p>
        </w:tc>
        <w:tc>
          <w:tcPr>
            <w:tcW w:w="2026" w:type="dxa"/>
            <w:vMerge w:val="restart"/>
            <w:tcBorders>
              <w:top w:val="single" w:color="000000" w:sz="10" w:space="0"/>
              <w:left w:val="single" w:color="000000" w:sz="8" w:space="0"/>
              <w:bottom w:val="nil"/>
              <w:right w:val="single" w:color="000000" w:sz="10" w:space="0"/>
            </w:tcBorders>
          </w:tcPr>
          <w:p w14:paraId="586DF921">
            <w:pPr>
              <w:pStyle w:val="137"/>
              <w:spacing w:before="214" w:line="219" w:lineRule="auto"/>
              <w:ind w:left="653"/>
              <w:rPr>
                <w:sz w:val="21"/>
                <w:szCs w:val="21"/>
              </w:rPr>
            </w:pPr>
            <w:r>
              <w:rPr>
                <w:rFonts w:hint="eastAsia" w:ascii="黑体" w:hAnsi="黑体" w:eastAsia="黑体" w:cs="黑体"/>
                <w:spacing w:val="-4"/>
                <w:sz w:val="21"/>
                <w:szCs w:val="21"/>
              </w:rPr>
              <w:t>检验方法</w:t>
            </w:r>
          </w:p>
        </w:tc>
      </w:tr>
      <w:tr w14:paraId="21F60E5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0" w:hRule="atLeast"/>
        </w:trPr>
        <w:tc>
          <w:tcPr>
            <w:tcW w:w="1233" w:type="dxa"/>
            <w:vMerge w:val="continue"/>
            <w:tcBorders>
              <w:top w:val="nil"/>
              <w:left w:val="single" w:color="000000" w:sz="10" w:space="0"/>
              <w:right w:val="single" w:color="000000" w:sz="8" w:space="0"/>
            </w:tcBorders>
          </w:tcPr>
          <w:p w14:paraId="3B610CE6">
            <w:pPr>
              <w:rPr>
                <w:rFonts w:ascii="Arial"/>
                <w:szCs w:val="21"/>
              </w:rPr>
            </w:pPr>
          </w:p>
        </w:tc>
        <w:tc>
          <w:tcPr>
            <w:tcW w:w="3402" w:type="dxa"/>
            <w:tcBorders>
              <w:left w:val="single" w:color="000000" w:sz="8" w:space="0"/>
              <w:right w:val="single" w:color="000000" w:sz="8" w:space="0"/>
            </w:tcBorders>
          </w:tcPr>
          <w:p w14:paraId="4F7FDDB4">
            <w:pPr>
              <w:pStyle w:val="137"/>
              <w:spacing w:before="54" w:line="222" w:lineRule="auto"/>
              <w:ind w:left="1361"/>
              <w:rPr>
                <w:sz w:val="21"/>
                <w:szCs w:val="21"/>
              </w:rPr>
            </w:pPr>
            <w:r>
              <w:rPr>
                <w:spacing w:val="-7"/>
                <w:sz w:val="21"/>
                <w:szCs w:val="21"/>
              </w:rPr>
              <w:t>一级</w:t>
            </w:r>
          </w:p>
        </w:tc>
        <w:tc>
          <w:tcPr>
            <w:tcW w:w="2904" w:type="dxa"/>
            <w:tcBorders>
              <w:top w:val="single" w:color="000000" w:sz="8" w:space="0"/>
              <w:left w:val="single" w:color="000000" w:sz="8" w:space="0"/>
            </w:tcBorders>
          </w:tcPr>
          <w:p w14:paraId="6A1C2D48">
            <w:pPr>
              <w:pStyle w:val="137"/>
              <w:spacing w:before="54" w:line="222" w:lineRule="auto"/>
              <w:ind w:left="1272"/>
              <w:rPr>
                <w:sz w:val="21"/>
                <w:szCs w:val="21"/>
              </w:rPr>
            </w:pPr>
            <w:r>
              <w:rPr>
                <w:spacing w:val="-7"/>
                <w:sz w:val="21"/>
                <w:szCs w:val="21"/>
              </w:rPr>
              <w:t>二级</w:t>
            </w:r>
          </w:p>
        </w:tc>
        <w:tc>
          <w:tcPr>
            <w:tcW w:w="2026" w:type="dxa"/>
            <w:vMerge w:val="continue"/>
            <w:tcBorders>
              <w:top w:val="nil"/>
              <w:left w:val="single" w:color="000000" w:sz="8" w:space="0"/>
              <w:bottom w:val="single" w:color="000000" w:sz="10" w:space="0"/>
              <w:right w:val="single" w:color="000000" w:sz="10" w:space="0"/>
            </w:tcBorders>
          </w:tcPr>
          <w:p w14:paraId="76A923A8">
            <w:pPr>
              <w:rPr>
                <w:rFonts w:ascii="Arial"/>
                <w:szCs w:val="21"/>
              </w:rPr>
            </w:pPr>
          </w:p>
        </w:tc>
      </w:tr>
      <w:tr w14:paraId="5B13FF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553" w:hRule="atLeast"/>
        </w:trPr>
        <w:tc>
          <w:tcPr>
            <w:tcW w:w="1233" w:type="dxa"/>
            <w:tcBorders>
              <w:left w:val="single" w:color="000000" w:sz="10" w:space="0"/>
              <w:right w:val="single" w:color="000000" w:sz="8" w:space="0"/>
            </w:tcBorders>
          </w:tcPr>
          <w:p w14:paraId="6488531B">
            <w:pPr>
              <w:spacing w:line="306" w:lineRule="auto"/>
              <w:jc w:val="center"/>
              <w:rPr>
                <w:rFonts w:ascii="宋体" w:hAnsi="宋体" w:cs="宋体"/>
                <w:szCs w:val="21"/>
              </w:rPr>
            </w:pPr>
          </w:p>
          <w:p w14:paraId="40022224">
            <w:pPr>
              <w:spacing w:line="306" w:lineRule="auto"/>
              <w:jc w:val="center"/>
              <w:rPr>
                <w:rFonts w:ascii="宋体" w:hAnsi="宋体" w:cs="宋体"/>
                <w:szCs w:val="21"/>
              </w:rPr>
            </w:pPr>
          </w:p>
          <w:p w14:paraId="77E93101">
            <w:pPr>
              <w:pStyle w:val="137"/>
              <w:spacing w:before="59" w:line="220" w:lineRule="auto"/>
              <w:jc w:val="center"/>
              <w:rPr>
                <w:sz w:val="21"/>
                <w:szCs w:val="21"/>
              </w:rPr>
            </w:pPr>
            <w:r>
              <w:rPr>
                <w:rFonts w:hint="eastAsia"/>
                <w:spacing w:val="-6"/>
                <w:sz w:val="21"/>
                <w:szCs w:val="21"/>
              </w:rPr>
              <w:t>洁净度</w:t>
            </w:r>
          </w:p>
        </w:tc>
        <w:tc>
          <w:tcPr>
            <w:tcW w:w="3402" w:type="dxa"/>
            <w:tcBorders>
              <w:left w:val="single" w:color="000000" w:sz="8" w:space="0"/>
              <w:right w:val="single" w:color="000000" w:sz="8" w:space="0"/>
            </w:tcBorders>
          </w:tcPr>
          <w:p w14:paraId="0EB6C2B9">
            <w:pPr>
              <w:pStyle w:val="137"/>
              <w:spacing w:before="52"/>
              <w:ind w:left="96" w:right="98" w:firstLine="3"/>
              <w:rPr>
                <w:sz w:val="21"/>
                <w:szCs w:val="21"/>
              </w:rPr>
            </w:pPr>
            <w:r>
              <w:rPr>
                <w:rFonts w:hint="eastAsia"/>
                <w:spacing w:val="-3"/>
                <w:sz w:val="21"/>
                <w:szCs w:val="21"/>
              </w:rPr>
              <w:t>果面光洁，无日灼、伤疤、裂口、刺</w:t>
            </w:r>
            <w:r>
              <w:rPr>
                <w:rFonts w:hint="eastAsia"/>
                <w:spacing w:val="6"/>
                <w:sz w:val="21"/>
                <w:szCs w:val="21"/>
              </w:rPr>
              <w:t xml:space="preserve"> </w:t>
            </w:r>
            <w:r>
              <w:rPr>
                <w:rFonts w:hint="eastAsia"/>
                <w:spacing w:val="-3"/>
                <w:sz w:val="21"/>
                <w:szCs w:val="21"/>
              </w:rPr>
              <w:t>伤、虫伤、擦伤、碰压伤及腐烂果，不得有检疫性病虫果，单果油斑、药</w:t>
            </w:r>
            <w:r>
              <w:rPr>
                <w:rFonts w:hint="eastAsia"/>
                <w:spacing w:val="-8"/>
                <w:sz w:val="21"/>
                <w:szCs w:val="21"/>
              </w:rPr>
              <w:t>斑等斑点不超过4个，单个斑点直径≤</w:t>
            </w:r>
            <w:r>
              <w:rPr>
                <w:rFonts w:hint="eastAsia"/>
                <w:spacing w:val="-4"/>
                <w:sz w:val="21"/>
                <w:szCs w:val="21"/>
              </w:rPr>
              <w:t>2.5mm</w:t>
            </w:r>
          </w:p>
        </w:tc>
        <w:tc>
          <w:tcPr>
            <w:tcW w:w="2904" w:type="dxa"/>
            <w:tcBorders>
              <w:left w:val="single" w:color="000000" w:sz="8" w:space="0"/>
              <w:right w:val="single" w:color="000000" w:sz="8" w:space="0"/>
            </w:tcBorders>
          </w:tcPr>
          <w:p w14:paraId="27E39C61">
            <w:pPr>
              <w:pStyle w:val="137"/>
              <w:spacing w:before="51"/>
              <w:ind w:left="103" w:right="92" w:firstLine="4"/>
              <w:rPr>
                <w:sz w:val="21"/>
                <w:szCs w:val="21"/>
              </w:rPr>
            </w:pPr>
            <w:r>
              <w:rPr>
                <w:rFonts w:hint="eastAsia"/>
                <w:spacing w:val="-5"/>
                <w:sz w:val="21"/>
                <w:szCs w:val="21"/>
              </w:rPr>
              <w:t>果面光洁，无日灼、伤疤、裂口、</w:t>
            </w:r>
            <w:r>
              <w:rPr>
                <w:rFonts w:hint="eastAsia"/>
                <w:spacing w:val="-3"/>
                <w:sz w:val="21"/>
                <w:szCs w:val="21"/>
              </w:rPr>
              <w:t>刺伤、虫伤、擦伤、碰压伤及腐烂</w:t>
            </w:r>
            <w:r>
              <w:rPr>
                <w:rFonts w:hint="eastAsia"/>
                <w:spacing w:val="4"/>
                <w:sz w:val="21"/>
                <w:szCs w:val="21"/>
              </w:rPr>
              <w:t xml:space="preserve"> </w:t>
            </w:r>
            <w:r>
              <w:rPr>
                <w:rFonts w:hint="eastAsia"/>
                <w:spacing w:val="-3"/>
                <w:sz w:val="21"/>
                <w:szCs w:val="21"/>
              </w:rPr>
              <w:t>果，不得有检疫性病虫果，单果油斑、药斑等斑点不超过8个，单个斑点直径≤2.5mm</w:t>
            </w:r>
          </w:p>
        </w:tc>
        <w:tc>
          <w:tcPr>
            <w:tcW w:w="2026" w:type="dxa"/>
            <w:tcBorders>
              <w:top w:val="single" w:color="000000" w:sz="10" w:space="0"/>
              <w:left w:val="single" w:color="000000" w:sz="8" w:space="0"/>
              <w:bottom w:val="single" w:color="000000" w:sz="10" w:space="0"/>
            </w:tcBorders>
          </w:tcPr>
          <w:p w14:paraId="5A7AB7ED">
            <w:pPr>
              <w:spacing w:line="306" w:lineRule="auto"/>
              <w:rPr>
                <w:rFonts w:ascii="宋体" w:hAnsi="宋体" w:cs="宋体"/>
                <w:szCs w:val="21"/>
              </w:rPr>
            </w:pPr>
          </w:p>
          <w:p w14:paraId="08CD2DAB">
            <w:pPr>
              <w:spacing w:line="306" w:lineRule="auto"/>
              <w:rPr>
                <w:rFonts w:ascii="宋体" w:hAnsi="宋体" w:cs="宋体"/>
                <w:szCs w:val="21"/>
              </w:rPr>
            </w:pPr>
          </w:p>
          <w:p w14:paraId="17939109">
            <w:pPr>
              <w:pStyle w:val="137"/>
              <w:spacing w:before="59" w:line="224" w:lineRule="auto"/>
              <w:ind w:left="603"/>
              <w:rPr>
                <w:sz w:val="21"/>
                <w:szCs w:val="21"/>
              </w:rPr>
            </w:pPr>
            <w:r>
              <w:rPr>
                <w:rFonts w:hint="eastAsia"/>
                <w:spacing w:val="-4"/>
                <w:sz w:val="21"/>
                <w:szCs w:val="21"/>
              </w:rPr>
              <w:t>GB/T</w:t>
            </w:r>
            <w:r>
              <w:rPr>
                <w:rFonts w:hint="eastAsia"/>
                <w:spacing w:val="12"/>
                <w:sz w:val="21"/>
                <w:szCs w:val="21"/>
              </w:rPr>
              <w:t xml:space="preserve"> </w:t>
            </w:r>
            <w:r>
              <w:rPr>
                <w:rFonts w:hint="eastAsia"/>
                <w:spacing w:val="-4"/>
                <w:sz w:val="21"/>
                <w:szCs w:val="21"/>
              </w:rPr>
              <w:t>8210</w:t>
            </w:r>
          </w:p>
        </w:tc>
      </w:tr>
      <w:tr w14:paraId="7416BC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6" w:hRule="atLeast"/>
        </w:trPr>
        <w:tc>
          <w:tcPr>
            <w:tcW w:w="1233" w:type="dxa"/>
            <w:tcBorders>
              <w:left w:val="single" w:color="000000" w:sz="10" w:space="0"/>
              <w:right w:val="single" w:color="000000" w:sz="8" w:space="0"/>
            </w:tcBorders>
          </w:tcPr>
          <w:p w14:paraId="0A6EAA89">
            <w:pPr>
              <w:pStyle w:val="137"/>
              <w:spacing w:before="209" w:line="214" w:lineRule="auto"/>
              <w:jc w:val="center"/>
              <w:rPr>
                <w:sz w:val="21"/>
                <w:szCs w:val="21"/>
              </w:rPr>
            </w:pPr>
            <w:r>
              <w:rPr>
                <w:rFonts w:hint="eastAsia"/>
                <w:spacing w:val="-5"/>
                <w:sz w:val="21"/>
                <w:szCs w:val="21"/>
              </w:rPr>
              <w:t>果重/</w:t>
            </w:r>
            <w:r>
              <w:rPr>
                <w:rFonts w:hint="eastAsia"/>
                <w:spacing w:val="-5"/>
                <w:sz w:val="21"/>
                <w:szCs w:val="21"/>
                <w:lang w:eastAsia="zh-CN"/>
              </w:rPr>
              <w:t xml:space="preserve"> </w:t>
            </w:r>
            <w:r>
              <w:rPr>
                <w:rFonts w:hint="eastAsia"/>
                <w:spacing w:val="-5"/>
                <w:sz w:val="21"/>
                <w:szCs w:val="21"/>
              </w:rPr>
              <w:t>g</w:t>
            </w:r>
          </w:p>
        </w:tc>
        <w:tc>
          <w:tcPr>
            <w:tcW w:w="3402" w:type="dxa"/>
            <w:tcBorders>
              <w:left w:val="single" w:color="000000" w:sz="8" w:space="0"/>
              <w:right w:val="single" w:color="000000" w:sz="8" w:space="0"/>
            </w:tcBorders>
          </w:tcPr>
          <w:p w14:paraId="064B7E98">
            <w:pPr>
              <w:pStyle w:val="137"/>
              <w:spacing w:before="210" w:line="236" w:lineRule="auto"/>
              <w:ind w:left="1044"/>
              <w:rPr>
                <w:sz w:val="21"/>
                <w:szCs w:val="21"/>
              </w:rPr>
            </w:pPr>
            <w:r>
              <w:rPr>
                <w:rFonts w:hint="eastAsia"/>
                <w:spacing w:val="-3"/>
                <w:sz w:val="21"/>
                <w:szCs w:val="21"/>
              </w:rPr>
              <w:t>220＜G≤250</w:t>
            </w:r>
          </w:p>
        </w:tc>
        <w:tc>
          <w:tcPr>
            <w:tcW w:w="2904" w:type="dxa"/>
            <w:tcBorders>
              <w:left w:val="single" w:color="000000" w:sz="8" w:space="0"/>
              <w:right w:val="single" w:color="000000" w:sz="8" w:space="0"/>
            </w:tcBorders>
          </w:tcPr>
          <w:p w14:paraId="5214E7F6">
            <w:pPr>
              <w:pStyle w:val="137"/>
              <w:spacing w:before="210" w:line="236" w:lineRule="auto"/>
              <w:ind w:left="955"/>
              <w:rPr>
                <w:sz w:val="21"/>
                <w:szCs w:val="21"/>
              </w:rPr>
            </w:pPr>
            <w:r>
              <w:rPr>
                <w:rFonts w:hint="eastAsia"/>
                <w:spacing w:val="-3"/>
                <w:sz w:val="21"/>
                <w:szCs w:val="21"/>
              </w:rPr>
              <w:t>200≤G≤220</w:t>
            </w:r>
          </w:p>
        </w:tc>
        <w:tc>
          <w:tcPr>
            <w:tcW w:w="2026" w:type="dxa"/>
            <w:tcBorders>
              <w:top w:val="single" w:color="000000" w:sz="10" w:space="0"/>
              <w:left w:val="single" w:color="000000" w:sz="8" w:space="0"/>
              <w:bottom w:val="single" w:color="000000" w:sz="10" w:space="0"/>
            </w:tcBorders>
          </w:tcPr>
          <w:p w14:paraId="64643B01">
            <w:pPr>
              <w:pStyle w:val="137"/>
              <w:spacing w:before="54"/>
              <w:ind w:left="110" w:right="104"/>
              <w:rPr>
                <w:sz w:val="21"/>
                <w:szCs w:val="21"/>
              </w:rPr>
            </w:pPr>
            <w:r>
              <w:rPr>
                <w:rFonts w:hint="eastAsia"/>
                <w:spacing w:val="-3"/>
                <w:sz w:val="21"/>
                <w:szCs w:val="21"/>
              </w:rPr>
              <w:t>采用架盘天平或精确盘</w:t>
            </w:r>
            <w:r>
              <w:rPr>
                <w:rFonts w:hint="eastAsia"/>
                <w:spacing w:val="-4"/>
                <w:sz w:val="21"/>
                <w:szCs w:val="21"/>
              </w:rPr>
              <w:t>秤测定</w:t>
            </w:r>
          </w:p>
        </w:tc>
      </w:tr>
      <w:tr w14:paraId="5F601A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39" w:hRule="atLeast"/>
        </w:trPr>
        <w:tc>
          <w:tcPr>
            <w:tcW w:w="1233" w:type="dxa"/>
            <w:tcBorders>
              <w:left w:val="single" w:color="000000" w:sz="10" w:space="0"/>
              <w:right w:val="single" w:color="000000" w:sz="8" w:space="0"/>
            </w:tcBorders>
          </w:tcPr>
          <w:p w14:paraId="711BCD6A">
            <w:pPr>
              <w:spacing w:line="463" w:lineRule="auto"/>
              <w:jc w:val="center"/>
              <w:rPr>
                <w:rFonts w:ascii="宋体" w:hAnsi="宋体" w:cs="宋体"/>
                <w:szCs w:val="21"/>
              </w:rPr>
            </w:pPr>
          </w:p>
          <w:p w14:paraId="03392F2A">
            <w:pPr>
              <w:pStyle w:val="137"/>
              <w:spacing w:before="59" w:line="219" w:lineRule="auto"/>
              <w:jc w:val="center"/>
              <w:rPr>
                <w:sz w:val="21"/>
                <w:szCs w:val="21"/>
              </w:rPr>
            </w:pPr>
            <w:r>
              <w:rPr>
                <w:rFonts w:hint="eastAsia"/>
                <w:spacing w:val="-5"/>
                <w:sz w:val="21"/>
                <w:szCs w:val="21"/>
              </w:rPr>
              <w:t>果径/</w:t>
            </w:r>
            <w:r>
              <w:rPr>
                <w:rFonts w:hint="eastAsia"/>
                <w:spacing w:val="-5"/>
                <w:sz w:val="21"/>
                <w:szCs w:val="21"/>
                <w:lang w:eastAsia="zh-CN"/>
              </w:rPr>
              <w:t xml:space="preserve"> </w:t>
            </w:r>
            <w:r>
              <w:rPr>
                <w:rFonts w:hint="eastAsia"/>
                <w:spacing w:val="-5"/>
                <w:sz w:val="21"/>
                <w:szCs w:val="21"/>
              </w:rPr>
              <w:t>㎝</w:t>
            </w:r>
          </w:p>
        </w:tc>
        <w:tc>
          <w:tcPr>
            <w:tcW w:w="3402" w:type="dxa"/>
            <w:tcBorders>
              <w:left w:val="single" w:color="000000" w:sz="8" w:space="0"/>
              <w:right w:val="single" w:color="000000" w:sz="8" w:space="0"/>
            </w:tcBorders>
          </w:tcPr>
          <w:p w14:paraId="25BB0669">
            <w:pPr>
              <w:spacing w:line="463" w:lineRule="auto"/>
              <w:rPr>
                <w:rFonts w:ascii="宋体" w:hAnsi="宋体" w:cs="宋体"/>
                <w:szCs w:val="21"/>
              </w:rPr>
            </w:pPr>
          </w:p>
          <w:p w14:paraId="37026C89">
            <w:pPr>
              <w:pStyle w:val="137"/>
              <w:spacing w:before="58" w:line="236" w:lineRule="auto"/>
              <w:ind w:left="1046"/>
              <w:rPr>
                <w:sz w:val="21"/>
                <w:szCs w:val="21"/>
              </w:rPr>
            </w:pPr>
            <w:r>
              <w:rPr>
                <w:rFonts w:hint="eastAsia"/>
                <w:spacing w:val="-3"/>
                <w:sz w:val="21"/>
                <w:szCs w:val="21"/>
              </w:rPr>
              <w:t>7.5＜d≤9.5</w:t>
            </w:r>
          </w:p>
        </w:tc>
        <w:tc>
          <w:tcPr>
            <w:tcW w:w="2904" w:type="dxa"/>
            <w:tcBorders>
              <w:left w:val="single" w:color="000000" w:sz="8" w:space="0"/>
              <w:right w:val="single" w:color="000000" w:sz="8" w:space="0"/>
            </w:tcBorders>
          </w:tcPr>
          <w:p w14:paraId="31812F84">
            <w:pPr>
              <w:spacing w:line="463" w:lineRule="auto"/>
              <w:rPr>
                <w:rFonts w:ascii="宋体" w:hAnsi="宋体" w:cs="宋体"/>
                <w:szCs w:val="21"/>
              </w:rPr>
            </w:pPr>
          </w:p>
          <w:p w14:paraId="767B5D4B">
            <w:pPr>
              <w:pStyle w:val="137"/>
              <w:spacing w:before="58" w:line="236" w:lineRule="auto"/>
              <w:ind w:left="954"/>
              <w:rPr>
                <w:sz w:val="21"/>
                <w:szCs w:val="21"/>
              </w:rPr>
            </w:pPr>
            <w:r>
              <w:rPr>
                <w:rFonts w:hint="eastAsia"/>
                <w:spacing w:val="-3"/>
                <w:sz w:val="21"/>
                <w:szCs w:val="21"/>
              </w:rPr>
              <w:t>6.5≤d≤7.5</w:t>
            </w:r>
          </w:p>
        </w:tc>
        <w:tc>
          <w:tcPr>
            <w:tcW w:w="2026" w:type="dxa"/>
            <w:tcBorders>
              <w:top w:val="single" w:color="000000" w:sz="10" w:space="0"/>
              <w:left w:val="single" w:color="000000" w:sz="8" w:space="0"/>
              <w:bottom w:val="single" w:color="000000" w:sz="10" w:space="0"/>
            </w:tcBorders>
          </w:tcPr>
          <w:p w14:paraId="4A82D69E">
            <w:pPr>
              <w:pStyle w:val="137"/>
              <w:spacing w:before="55"/>
              <w:ind w:left="111" w:right="104" w:firstLine="9"/>
              <w:rPr>
                <w:sz w:val="21"/>
                <w:szCs w:val="21"/>
              </w:rPr>
            </w:pPr>
            <w:r>
              <w:rPr>
                <w:rFonts w:hint="eastAsia"/>
                <w:spacing w:val="-4"/>
                <w:sz w:val="21"/>
                <w:szCs w:val="21"/>
              </w:rPr>
              <w:t>随机抽取10个样品果，</w:t>
            </w:r>
            <w:r>
              <w:rPr>
                <w:rFonts w:hint="eastAsia"/>
                <w:spacing w:val="-3"/>
                <w:sz w:val="21"/>
                <w:szCs w:val="21"/>
              </w:rPr>
              <w:t>用游标卡尺测量果腰直径，取其算术平均值作</w:t>
            </w:r>
            <w:r>
              <w:rPr>
                <w:rFonts w:hint="eastAsia"/>
                <w:spacing w:val="-4"/>
                <w:sz w:val="21"/>
                <w:szCs w:val="21"/>
              </w:rPr>
              <w:t>为检验结果</w:t>
            </w:r>
          </w:p>
        </w:tc>
      </w:tr>
      <w:tr w14:paraId="0EA1D2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553" w:hRule="atLeast"/>
        </w:trPr>
        <w:tc>
          <w:tcPr>
            <w:tcW w:w="1233" w:type="dxa"/>
            <w:tcBorders>
              <w:left w:val="single" w:color="000000" w:sz="10" w:space="0"/>
              <w:right w:val="single" w:color="000000" w:sz="8" w:space="0"/>
            </w:tcBorders>
          </w:tcPr>
          <w:p w14:paraId="4BE3344C">
            <w:pPr>
              <w:spacing w:line="310" w:lineRule="auto"/>
              <w:jc w:val="center"/>
              <w:rPr>
                <w:rFonts w:ascii="宋体" w:hAnsi="宋体" w:cs="宋体"/>
                <w:szCs w:val="21"/>
              </w:rPr>
            </w:pPr>
          </w:p>
          <w:p w14:paraId="4859B69B">
            <w:pPr>
              <w:spacing w:line="311" w:lineRule="auto"/>
              <w:jc w:val="center"/>
              <w:rPr>
                <w:rFonts w:ascii="宋体" w:hAnsi="宋体" w:cs="宋体"/>
                <w:szCs w:val="21"/>
              </w:rPr>
            </w:pPr>
          </w:p>
          <w:p w14:paraId="5C0A43EF">
            <w:pPr>
              <w:pStyle w:val="137"/>
              <w:spacing w:before="59" w:line="220" w:lineRule="auto"/>
              <w:jc w:val="center"/>
              <w:rPr>
                <w:sz w:val="21"/>
                <w:szCs w:val="21"/>
              </w:rPr>
            </w:pPr>
            <w:r>
              <w:rPr>
                <w:rFonts w:hint="eastAsia"/>
                <w:spacing w:val="-4"/>
                <w:sz w:val="21"/>
                <w:szCs w:val="21"/>
              </w:rPr>
              <w:t>果皮厚度/</w:t>
            </w:r>
            <w:r>
              <w:rPr>
                <w:rFonts w:hint="eastAsia"/>
                <w:spacing w:val="-4"/>
                <w:sz w:val="21"/>
                <w:szCs w:val="21"/>
                <w:lang w:eastAsia="zh-CN"/>
              </w:rPr>
              <w:t xml:space="preserve"> </w:t>
            </w:r>
            <w:r>
              <w:rPr>
                <w:rFonts w:hint="eastAsia"/>
                <w:spacing w:val="-4"/>
                <w:sz w:val="21"/>
                <w:szCs w:val="21"/>
              </w:rPr>
              <w:t>㎜</w:t>
            </w:r>
          </w:p>
        </w:tc>
        <w:tc>
          <w:tcPr>
            <w:tcW w:w="6306" w:type="dxa"/>
            <w:gridSpan w:val="2"/>
            <w:tcBorders>
              <w:left w:val="single" w:color="000000" w:sz="8" w:space="0"/>
              <w:right w:val="single" w:color="000000" w:sz="8" w:space="0"/>
            </w:tcBorders>
          </w:tcPr>
          <w:p w14:paraId="4C68BA2D">
            <w:pPr>
              <w:spacing w:line="310" w:lineRule="auto"/>
              <w:rPr>
                <w:rFonts w:ascii="宋体" w:hAnsi="宋体" w:cs="宋体"/>
                <w:szCs w:val="21"/>
              </w:rPr>
            </w:pPr>
          </w:p>
          <w:p w14:paraId="4382F8E0">
            <w:pPr>
              <w:spacing w:line="311" w:lineRule="auto"/>
              <w:rPr>
                <w:rFonts w:ascii="宋体" w:hAnsi="宋体" w:cs="宋体"/>
                <w:szCs w:val="21"/>
              </w:rPr>
            </w:pPr>
          </w:p>
          <w:p w14:paraId="7F536D3C">
            <w:pPr>
              <w:pStyle w:val="137"/>
              <w:spacing w:before="58" w:line="236" w:lineRule="auto"/>
              <w:ind w:left="2870"/>
              <w:rPr>
                <w:sz w:val="21"/>
                <w:szCs w:val="21"/>
              </w:rPr>
            </w:pPr>
            <w:r>
              <w:rPr>
                <w:rFonts w:hint="eastAsia"/>
                <w:spacing w:val="-12"/>
                <w:sz w:val="21"/>
                <w:szCs w:val="21"/>
              </w:rPr>
              <w:t>≤5</w:t>
            </w:r>
          </w:p>
        </w:tc>
        <w:tc>
          <w:tcPr>
            <w:tcW w:w="2026" w:type="dxa"/>
            <w:tcBorders>
              <w:top w:val="single" w:color="000000" w:sz="10" w:space="0"/>
              <w:left w:val="single" w:color="000000" w:sz="8" w:space="0"/>
            </w:tcBorders>
          </w:tcPr>
          <w:p w14:paraId="3753E6DF">
            <w:pPr>
              <w:pStyle w:val="137"/>
              <w:spacing w:before="60"/>
              <w:ind w:left="111" w:right="104" w:firstLine="9"/>
              <w:rPr>
                <w:sz w:val="21"/>
                <w:szCs w:val="21"/>
              </w:rPr>
            </w:pPr>
            <w:r>
              <w:rPr>
                <w:rFonts w:hint="eastAsia"/>
                <w:spacing w:val="-4"/>
                <w:sz w:val="21"/>
                <w:szCs w:val="21"/>
              </w:rPr>
              <w:t>随机抽取10个样品果，</w:t>
            </w:r>
            <w:r>
              <w:rPr>
                <w:rFonts w:hint="eastAsia"/>
                <w:spacing w:val="-3"/>
                <w:sz w:val="21"/>
                <w:szCs w:val="21"/>
              </w:rPr>
              <w:t>从果腰部位切开，用游标卡尺测量果腰部位果皮的厚度，取其算术平均值作为检验结果</w:t>
            </w:r>
          </w:p>
        </w:tc>
      </w:tr>
      <w:tr w14:paraId="653802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9565" w:type="dxa"/>
            <w:gridSpan w:val="4"/>
          </w:tcPr>
          <w:p w14:paraId="44667545">
            <w:pPr>
              <w:pStyle w:val="137"/>
              <w:spacing w:before="73" w:line="219" w:lineRule="auto"/>
            </w:pPr>
            <w:r>
              <w:rPr>
                <w:spacing w:val="-3"/>
              </w:rPr>
              <w:t>注：G代表果重；d代表果径</w:t>
            </w:r>
          </w:p>
        </w:tc>
      </w:tr>
    </w:tbl>
    <w:p w14:paraId="469D02AD">
      <w:pPr>
        <w:rPr>
          <w:rFonts w:ascii="宋体" w:hAnsi="宋体" w:cs="宋体"/>
        </w:rPr>
      </w:pPr>
    </w:p>
    <w:p w14:paraId="56CE518F">
      <w:pPr>
        <w:rPr>
          <w:rFonts w:ascii="黑体" w:hAnsi="黑体" w:eastAsia="黑体" w:cs="黑体"/>
        </w:rPr>
      </w:pPr>
      <w:r>
        <w:rPr>
          <w:rFonts w:hint="eastAsia" w:ascii="黑体" w:hAnsi="黑体" w:eastAsia="黑体" w:cs="黑体"/>
        </w:rPr>
        <w:t>5.4.3  理化指标</w:t>
      </w:r>
    </w:p>
    <w:p w14:paraId="45FE4C09">
      <w:pPr>
        <w:ind w:firstLine="420" w:firstLineChars="200"/>
        <w:rPr>
          <w:rFonts w:ascii="宋体" w:hAnsi="宋体" w:cs="宋体"/>
        </w:rPr>
      </w:pPr>
      <w:r>
        <w:rPr>
          <w:rFonts w:hint="eastAsia" w:ascii="宋体" w:hAnsi="宋体" w:cs="宋体"/>
        </w:rPr>
        <w:t>应符合表2的规定。</w:t>
      </w:r>
    </w:p>
    <w:p w14:paraId="7E527ECE">
      <w:pPr>
        <w:jc w:val="center"/>
        <w:rPr>
          <w:rFonts w:ascii="黑体" w:hAnsi="黑体" w:eastAsia="黑体" w:cs="黑体"/>
        </w:rPr>
      </w:pPr>
      <w:r>
        <w:rPr>
          <w:rFonts w:hint="eastAsia" w:ascii="黑体" w:hAnsi="黑体" w:eastAsia="黑体" w:cs="黑体"/>
        </w:rPr>
        <w:t>表2  理化指标</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3"/>
        <w:gridCol w:w="2685"/>
        <w:gridCol w:w="2427"/>
        <w:gridCol w:w="2116"/>
      </w:tblGrid>
      <w:tr w14:paraId="6EB4D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3" w:type="dxa"/>
            <w:vMerge w:val="restart"/>
            <w:vAlign w:val="center"/>
          </w:tcPr>
          <w:p w14:paraId="7DD50BBD">
            <w:pPr>
              <w:jc w:val="center"/>
              <w:rPr>
                <w:rFonts w:ascii="黑体" w:hAnsi="黑体" w:eastAsia="黑体" w:cs="黑体"/>
              </w:rPr>
            </w:pPr>
            <w:r>
              <w:rPr>
                <w:rFonts w:hint="eastAsia" w:ascii="黑体" w:hAnsi="黑体" w:eastAsia="黑体" w:cs="黑体"/>
              </w:rPr>
              <w:t>项目</w:t>
            </w:r>
          </w:p>
        </w:tc>
        <w:tc>
          <w:tcPr>
            <w:tcW w:w="5112" w:type="dxa"/>
            <w:gridSpan w:val="2"/>
          </w:tcPr>
          <w:p w14:paraId="67F3FCAC">
            <w:pPr>
              <w:jc w:val="center"/>
              <w:rPr>
                <w:rFonts w:ascii="黑体" w:hAnsi="黑体" w:eastAsia="黑体" w:cs="黑体"/>
              </w:rPr>
            </w:pPr>
            <w:r>
              <w:rPr>
                <w:rFonts w:hint="eastAsia" w:ascii="黑体" w:hAnsi="黑体" w:eastAsia="黑体" w:cs="黑体"/>
              </w:rPr>
              <w:t>要求</w:t>
            </w:r>
          </w:p>
        </w:tc>
        <w:tc>
          <w:tcPr>
            <w:tcW w:w="2116" w:type="dxa"/>
            <w:vMerge w:val="restart"/>
            <w:vAlign w:val="center"/>
          </w:tcPr>
          <w:p w14:paraId="6CC0DF19">
            <w:pPr>
              <w:jc w:val="center"/>
              <w:rPr>
                <w:rFonts w:ascii="黑体" w:hAnsi="黑体" w:eastAsia="黑体" w:cs="黑体"/>
              </w:rPr>
            </w:pPr>
            <w:r>
              <w:rPr>
                <w:rFonts w:hint="eastAsia" w:ascii="黑体" w:hAnsi="黑体" w:eastAsia="黑体" w:cs="黑体"/>
              </w:rPr>
              <w:t>检验方法</w:t>
            </w:r>
          </w:p>
        </w:tc>
      </w:tr>
      <w:tr w14:paraId="1E080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3" w:type="dxa"/>
            <w:vMerge w:val="continue"/>
          </w:tcPr>
          <w:p w14:paraId="028AA83B">
            <w:pPr>
              <w:jc w:val="center"/>
              <w:rPr>
                <w:rFonts w:ascii="黑体" w:hAnsi="黑体" w:eastAsia="黑体" w:cs="黑体"/>
              </w:rPr>
            </w:pPr>
          </w:p>
        </w:tc>
        <w:tc>
          <w:tcPr>
            <w:tcW w:w="2685" w:type="dxa"/>
          </w:tcPr>
          <w:p w14:paraId="4C6C70F7">
            <w:pPr>
              <w:jc w:val="center"/>
              <w:rPr>
                <w:rFonts w:ascii="宋体" w:hAnsi="宋体" w:cs="宋体"/>
              </w:rPr>
            </w:pPr>
            <w:r>
              <w:rPr>
                <w:rFonts w:hint="eastAsia" w:ascii="宋体" w:hAnsi="宋体" w:cs="宋体"/>
              </w:rPr>
              <w:t>一级</w:t>
            </w:r>
          </w:p>
        </w:tc>
        <w:tc>
          <w:tcPr>
            <w:tcW w:w="2427" w:type="dxa"/>
          </w:tcPr>
          <w:p w14:paraId="49992E4E">
            <w:pPr>
              <w:jc w:val="center"/>
              <w:rPr>
                <w:rFonts w:ascii="宋体" w:hAnsi="宋体" w:cs="宋体"/>
              </w:rPr>
            </w:pPr>
            <w:r>
              <w:rPr>
                <w:rFonts w:hint="eastAsia" w:ascii="宋体" w:hAnsi="宋体" w:cs="宋体"/>
              </w:rPr>
              <w:t>二级</w:t>
            </w:r>
          </w:p>
        </w:tc>
        <w:tc>
          <w:tcPr>
            <w:tcW w:w="2116" w:type="dxa"/>
            <w:vMerge w:val="continue"/>
          </w:tcPr>
          <w:p w14:paraId="4014C88E">
            <w:pPr>
              <w:jc w:val="center"/>
              <w:rPr>
                <w:rFonts w:ascii="黑体" w:hAnsi="黑体" w:eastAsia="黑体" w:cs="黑体"/>
              </w:rPr>
            </w:pPr>
          </w:p>
        </w:tc>
      </w:tr>
      <w:tr w14:paraId="17D5B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3" w:type="dxa"/>
            <w:shd w:val="clear" w:color="auto" w:fill="auto"/>
            <w:vAlign w:val="center"/>
          </w:tcPr>
          <w:p w14:paraId="152812C1">
            <w:pPr>
              <w:pStyle w:val="137"/>
              <w:spacing w:before="51" w:line="220" w:lineRule="auto"/>
              <w:ind w:left="101"/>
              <w:jc w:val="center"/>
              <w:rPr>
                <w:sz w:val="21"/>
                <w:szCs w:val="21"/>
                <w:lang w:eastAsia="zh-CN"/>
              </w:rPr>
            </w:pPr>
            <w:r>
              <w:rPr>
                <w:rFonts w:hint="eastAsia"/>
                <w:spacing w:val="5"/>
                <w:sz w:val="21"/>
                <w:szCs w:val="21"/>
              </w:rPr>
              <w:t>可溶性固形物/%</w:t>
            </w:r>
          </w:p>
        </w:tc>
        <w:tc>
          <w:tcPr>
            <w:tcW w:w="2685" w:type="dxa"/>
            <w:shd w:val="clear" w:color="auto" w:fill="auto"/>
            <w:vAlign w:val="center"/>
          </w:tcPr>
          <w:p w14:paraId="4C9FB83C">
            <w:pPr>
              <w:pStyle w:val="137"/>
              <w:spacing w:before="52" w:line="237" w:lineRule="auto"/>
              <w:jc w:val="center"/>
              <w:rPr>
                <w:sz w:val="21"/>
                <w:szCs w:val="21"/>
                <w:lang w:eastAsia="zh-CN"/>
              </w:rPr>
            </w:pPr>
            <w:r>
              <w:rPr>
                <w:rFonts w:hint="eastAsia"/>
                <w:spacing w:val="-10"/>
                <w:sz w:val="21"/>
                <w:szCs w:val="21"/>
              </w:rPr>
              <w:t>≥13</w:t>
            </w:r>
          </w:p>
        </w:tc>
        <w:tc>
          <w:tcPr>
            <w:tcW w:w="2427" w:type="dxa"/>
            <w:shd w:val="clear" w:color="auto" w:fill="auto"/>
            <w:vAlign w:val="center"/>
          </w:tcPr>
          <w:p w14:paraId="399353C0">
            <w:pPr>
              <w:pStyle w:val="137"/>
              <w:spacing w:before="51" w:line="236" w:lineRule="auto"/>
              <w:jc w:val="center"/>
              <w:rPr>
                <w:sz w:val="21"/>
                <w:szCs w:val="21"/>
                <w:lang w:eastAsia="zh-CN"/>
              </w:rPr>
            </w:pPr>
            <w:r>
              <w:rPr>
                <w:rFonts w:hint="eastAsia"/>
                <w:spacing w:val="-5"/>
                <w:sz w:val="21"/>
                <w:szCs w:val="21"/>
              </w:rPr>
              <w:t>12≤S&lt;13</w:t>
            </w:r>
          </w:p>
        </w:tc>
        <w:tc>
          <w:tcPr>
            <w:tcW w:w="2116" w:type="dxa"/>
            <w:vMerge w:val="restart"/>
            <w:vAlign w:val="center"/>
          </w:tcPr>
          <w:p w14:paraId="10EB4728">
            <w:pPr>
              <w:jc w:val="center"/>
              <w:rPr>
                <w:rFonts w:ascii="黑体" w:hAnsi="黑体" w:eastAsia="黑体" w:cs="黑体"/>
              </w:rPr>
            </w:pPr>
            <w:r>
              <w:rPr>
                <w:rFonts w:hint="eastAsia" w:ascii="宋体" w:hAnsi="宋体" w:cs="宋体"/>
                <w:spacing w:val="-4"/>
                <w:szCs w:val="21"/>
              </w:rPr>
              <w:t>GB/T</w:t>
            </w:r>
            <w:r>
              <w:rPr>
                <w:rFonts w:hint="eastAsia" w:ascii="宋体" w:hAnsi="宋体" w:cs="宋体"/>
                <w:spacing w:val="12"/>
                <w:szCs w:val="21"/>
              </w:rPr>
              <w:t xml:space="preserve"> </w:t>
            </w:r>
            <w:r>
              <w:rPr>
                <w:rFonts w:hint="eastAsia" w:ascii="宋体" w:hAnsi="宋体" w:cs="宋体"/>
                <w:spacing w:val="-4"/>
                <w:szCs w:val="21"/>
              </w:rPr>
              <w:t>8210</w:t>
            </w:r>
          </w:p>
        </w:tc>
      </w:tr>
      <w:tr w14:paraId="21DE4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3" w:type="dxa"/>
            <w:shd w:val="clear" w:color="auto" w:fill="auto"/>
            <w:vAlign w:val="center"/>
          </w:tcPr>
          <w:p w14:paraId="1442247B">
            <w:pPr>
              <w:pStyle w:val="137"/>
              <w:spacing w:before="57" w:line="219" w:lineRule="auto"/>
              <w:ind w:left="104"/>
              <w:jc w:val="center"/>
              <w:rPr>
                <w:sz w:val="21"/>
                <w:szCs w:val="21"/>
                <w:lang w:eastAsia="zh-CN"/>
              </w:rPr>
            </w:pPr>
            <w:r>
              <w:rPr>
                <w:rFonts w:hint="eastAsia"/>
                <w:spacing w:val="-3"/>
                <w:sz w:val="21"/>
                <w:szCs w:val="21"/>
              </w:rPr>
              <w:t>总酸（以柠檬酸计）/</w:t>
            </w:r>
            <w:r>
              <w:rPr>
                <w:rFonts w:hint="eastAsia"/>
                <w:spacing w:val="8"/>
                <w:w w:val="132"/>
                <w:sz w:val="21"/>
                <w:szCs w:val="21"/>
              </w:rPr>
              <w:t>%</w:t>
            </w:r>
          </w:p>
        </w:tc>
        <w:tc>
          <w:tcPr>
            <w:tcW w:w="5112" w:type="dxa"/>
            <w:gridSpan w:val="2"/>
            <w:shd w:val="clear" w:color="auto" w:fill="auto"/>
            <w:vAlign w:val="center"/>
          </w:tcPr>
          <w:p w14:paraId="079B4D69">
            <w:pPr>
              <w:jc w:val="center"/>
              <w:rPr>
                <w:rFonts w:ascii="黑体" w:hAnsi="黑体" w:eastAsia="黑体" w:cs="黑体"/>
              </w:rPr>
            </w:pPr>
            <w:r>
              <w:rPr>
                <w:rFonts w:hint="eastAsia" w:ascii="宋体" w:hAnsi="宋体" w:cs="宋体"/>
                <w:spacing w:val="-7"/>
                <w:szCs w:val="21"/>
              </w:rPr>
              <w:t>≤0.8</w:t>
            </w:r>
          </w:p>
        </w:tc>
        <w:tc>
          <w:tcPr>
            <w:tcW w:w="2116" w:type="dxa"/>
            <w:vMerge w:val="continue"/>
            <w:vAlign w:val="center"/>
          </w:tcPr>
          <w:p w14:paraId="091CA32F">
            <w:pPr>
              <w:jc w:val="center"/>
              <w:rPr>
                <w:rFonts w:ascii="黑体" w:hAnsi="黑体" w:eastAsia="黑体" w:cs="黑体"/>
              </w:rPr>
            </w:pPr>
          </w:p>
        </w:tc>
      </w:tr>
      <w:tr w14:paraId="3F5F2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3" w:type="dxa"/>
            <w:shd w:val="clear" w:color="auto" w:fill="auto"/>
            <w:vAlign w:val="center"/>
          </w:tcPr>
          <w:p w14:paraId="793E18BD">
            <w:pPr>
              <w:pStyle w:val="137"/>
              <w:spacing w:before="61" w:line="220" w:lineRule="auto"/>
              <w:ind w:left="104"/>
              <w:jc w:val="center"/>
              <w:rPr>
                <w:sz w:val="21"/>
                <w:szCs w:val="21"/>
                <w:lang w:eastAsia="zh-CN"/>
              </w:rPr>
            </w:pPr>
            <w:r>
              <w:rPr>
                <w:rFonts w:hint="eastAsia"/>
                <w:spacing w:val="-3"/>
                <w:sz w:val="21"/>
                <w:szCs w:val="21"/>
              </w:rPr>
              <w:t>总糖（以还原糖计）/</w:t>
            </w:r>
            <w:r>
              <w:rPr>
                <w:rFonts w:hint="eastAsia"/>
                <w:spacing w:val="8"/>
                <w:w w:val="132"/>
                <w:sz w:val="21"/>
                <w:szCs w:val="21"/>
              </w:rPr>
              <w:t>%</w:t>
            </w:r>
          </w:p>
        </w:tc>
        <w:tc>
          <w:tcPr>
            <w:tcW w:w="2685" w:type="dxa"/>
            <w:shd w:val="clear" w:color="auto" w:fill="auto"/>
            <w:vAlign w:val="center"/>
          </w:tcPr>
          <w:p w14:paraId="36FFED2E">
            <w:pPr>
              <w:pStyle w:val="137"/>
              <w:spacing w:before="217" w:line="237" w:lineRule="auto"/>
              <w:jc w:val="center"/>
              <w:rPr>
                <w:sz w:val="21"/>
                <w:szCs w:val="21"/>
                <w:lang w:eastAsia="zh-CN"/>
              </w:rPr>
            </w:pPr>
            <w:r>
              <w:rPr>
                <w:rFonts w:hint="eastAsia"/>
                <w:spacing w:val="-10"/>
                <w:sz w:val="21"/>
                <w:szCs w:val="21"/>
              </w:rPr>
              <w:t>≥11</w:t>
            </w:r>
          </w:p>
        </w:tc>
        <w:tc>
          <w:tcPr>
            <w:tcW w:w="2427" w:type="dxa"/>
            <w:shd w:val="clear" w:color="auto" w:fill="auto"/>
            <w:vAlign w:val="center"/>
          </w:tcPr>
          <w:p w14:paraId="75ABDE35">
            <w:pPr>
              <w:pStyle w:val="137"/>
              <w:spacing w:before="217" w:line="236" w:lineRule="auto"/>
              <w:jc w:val="center"/>
              <w:rPr>
                <w:sz w:val="21"/>
                <w:szCs w:val="21"/>
                <w:lang w:eastAsia="zh-CN"/>
              </w:rPr>
            </w:pPr>
            <w:r>
              <w:rPr>
                <w:rFonts w:hint="eastAsia"/>
                <w:spacing w:val="-5"/>
                <w:sz w:val="21"/>
                <w:szCs w:val="21"/>
              </w:rPr>
              <w:t>10≤D&lt;11</w:t>
            </w:r>
          </w:p>
        </w:tc>
        <w:tc>
          <w:tcPr>
            <w:tcW w:w="2116" w:type="dxa"/>
            <w:vAlign w:val="center"/>
          </w:tcPr>
          <w:p w14:paraId="7494926D">
            <w:pPr>
              <w:jc w:val="center"/>
              <w:rPr>
                <w:rFonts w:ascii="黑体" w:hAnsi="黑体" w:eastAsia="黑体" w:cs="黑体"/>
              </w:rPr>
            </w:pPr>
            <w:r>
              <w:rPr>
                <w:rFonts w:hint="eastAsia" w:ascii="宋体" w:hAnsi="宋体" w:cs="宋体"/>
                <w:spacing w:val="-4"/>
                <w:szCs w:val="21"/>
              </w:rPr>
              <w:t>GB</w:t>
            </w:r>
            <w:r>
              <w:rPr>
                <w:rFonts w:hint="eastAsia" w:ascii="宋体" w:hAnsi="宋体" w:cs="宋体"/>
                <w:spacing w:val="12"/>
                <w:szCs w:val="21"/>
              </w:rPr>
              <w:t xml:space="preserve"> </w:t>
            </w:r>
            <w:r>
              <w:rPr>
                <w:rFonts w:hint="eastAsia" w:ascii="宋体" w:hAnsi="宋体" w:cs="宋体"/>
                <w:spacing w:val="-4"/>
                <w:szCs w:val="21"/>
              </w:rPr>
              <w:t>5009.7</w:t>
            </w:r>
          </w:p>
        </w:tc>
      </w:tr>
      <w:tr w14:paraId="61F44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3" w:type="dxa"/>
            <w:shd w:val="clear" w:color="auto" w:fill="auto"/>
            <w:vAlign w:val="center"/>
          </w:tcPr>
          <w:p w14:paraId="768360B4">
            <w:pPr>
              <w:pStyle w:val="137"/>
              <w:spacing w:before="64" w:line="220" w:lineRule="auto"/>
              <w:ind w:left="115"/>
              <w:jc w:val="center"/>
              <w:rPr>
                <w:sz w:val="21"/>
                <w:szCs w:val="21"/>
                <w:lang w:eastAsia="zh-CN"/>
              </w:rPr>
            </w:pPr>
            <w:r>
              <w:rPr>
                <w:rFonts w:hint="eastAsia"/>
                <w:spacing w:val="7"/>
                <w:sz w:val="21"/>
                <w:szCs w:val="21"/>
              </w:rPr>
              <w:t>固酸比/%</w:t>
            </w:r>
          </w:p>
        </w:tc>
        <w:tc>
          <w:tcPr>
            <w:tcW w:w="5112" w:type="dxa"/>
            <w:gridSpan w:val="2"/>
            <w:shd w:val="clear" w:color="auto" w:fill="auto"/>
            <w:vAlign w:val="center"/>
          </w:tcPr>
          <w:p w14:paraId="4CC2BD8D">
            <w:pPr>
              <w:jc w:val="center"/>
              <w:rPr>
                <w:rFonts w:ascii="黑体" w:hAnsi="黑体" w:eastAsia="黑体" w:cs="黑体"/>
              </w:rPr>
            </w:pPr>
            <w:r>
              <w:rPr>
                <w:rFonts w:hint="eastAsia" w:ascii="宋体" w:hAnsi="宋体" w:cs="宋体"/>
                <w:spacing w:val="-10"/>
                <w:szCs w:val="21"/>
              </w:rPr>
              <w:t>≥15</w:t>
            </w:r>
          </w:p>
        </w:tc>
        <w:tc>
          <w:tcPr>
            <w:tcW w:w="2116" w:type="dxa"/>
            <w:vAlign w:val="center"/>
          </w:tcPr>
          <w:p w14:paraId="423946B0">
            <w:pPr>
              <w:jc w:val="center"/>
              <w:rPr>
                <w:rFonts w:ascii="黑体" w:hAnsi="黑体" w:eastAsia="黑体" w:cs="黑体"/>
              </w:rPr>
            </w:pPr>
            <w:r>
              <w:rPr>
                <w:rFonts w:hint="eastAsia" w:ascii="宋体" w:hAnsi="宋体" w:cs="宋体"/>
                <w:spacing w:val="-5"/>
                <w:szCs w:val="21"/>
              </w:rPr>
              <w:t>GB/T 12947</w:t>
            </w:r>
          </w:p>
        </w:tc>
      </w:tr>
      <w:tr w14:paraId="45E46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3" w:type="dxa"/>
            <w:shd w:val="clear" w:color="auto" w:fill="auto"/>
            <w:vAlign w:val="center"/>
          </w:tcPr>
          <w:p w14:paraId="4A5A6C09">
            <w:pPr>
              <w:pStyle w:val="137"/>
              <w:spacing w:before="65" w:line="219" w:lineRule="auto"/>
              <w:ind w:left="101"/>
              <w:jc w:val="center"/>
              <w:rPr>
                <w:sz w:val="21"/>
                <w:szCs w:val="21"/>
                <w:lang w:eastAsia="zh-CN"/>
              </w:rPr>
            </w:pPr>
            <w:r>
              <w:rPr>
                <w:rFonts w:hint="eastAsia"/>
                <w:spacing w:val="9"/>
                <w:sz w:val="21"/>
                <w:szCs w:val="21"/>
              </w:rPr>
              <w:t>可食率/%</w:t>
            </w:r>
          </w:p>
        </w:tc>
        <w:tc>
          <w:tcPr>
            <w:tcW w:w="5112" w:type="dxa"/>
            <w:gridSpan w:val="2"/>
            <w:shd w:val="clear" w:color="auto" w:fill="auto"/>
            <w:vAlign w:val="center"/>
          </w:tcPr>
          <w:p w14:paraId="36B0BECF">
            <w:pPr>
              <w:jc w:val="center"/>
              <w:rPr>
                <w:rFonts w:ascii="黑体" w:hAnsi="黑体" w:eastAsia="黑体" w:cs="黑体"/>
              </w:rPr>
            </w:pPr>
            <w:r>
              <w:rPr>
                <w:rFonts w:hint="eastAsia" w:ascii="宋体" w:hAnsi="宋体" w:cs="宋体"/>
                <w:spacing w:val="-10"/>
                <w:szCs w:val="21"/>
              </w:rPr>
              <w:t>≥70</w:t>
            </w:r>
          </w:p>
        </w:tc>
        <w:tc>
          <w:tcPr>
            <w:tcW w:w="2116" w:type="dxa"/>
            <w:vAlign w:val="center"/>
          </w:tcPr>
          <w:p w14:paraId="00DE1599">
            <w:pPr>
              <w:jc w:val="center"/>
              <w:rPr>
                <w:rFonts w:ascii="黑体" w:hAnsi="黑体" w:eastAsia="黑体" w:cs="黑体"/>
              </w:rPr>
            </w:pPr>
            <w:r>
              <w:rPr>
                <w:rFonts w:hint="eastAsia" w:ascii="宋体" w:hAnsi="宋体" w:cs="宋体"/>
                <w:spacing w:val="-4"/>
                <w:szCs w:val="21"/>
              </w:rPr>
              <w:t>GB/T</w:t>
            </w:r>
            <w:r>
              <w:rPr>
                <w:rFonts w:hint="eastAsia" w:ascii="宋体" w:hAnsi="宋体" w:cs="宋体"/>
                <w:spacing w:val="14"/>
                <w:szCs w:val="21"/>
              </w:rPr>
              <w:t xml:space="preserve"> </w:t>
            </w:r>
            <w:r>
              <w:rPr>
                <w:rFonts w:hint="eastAsia" w:ascii="宋体" w:hAnsi="宋体" w:cs="宋体"/>
                <w:spacing w:val="-4"/>
                <w:szCs w:val="21"/>
              </w:rPr>
              <w:t>8210</w:t>
            </w:r>
          </w:p>
        </w:tc>
      </w:tr>
      <w:tr w14:paraId="03766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gridSpan w:val="4"/>
          </w:tcPr>
          <w:p w14:paraId="5A70EFA7">
            <w:pPr>
              <w:rPr>
                <w:rFonts w:ascii="黑体" w:hAnsi="黑体" w:eastAsia="黑体" w:cs="黑体"/>
              </w:rPr>
            </w:pPr>
            <w:r>
              <w:rPr>
                <w:rFonts w:hint="eastAsia" w:ascii="宋体" w:hAnsi="宋体" w:cs="宋体"/>
                <w:spacing w:val="-3"/>
                <w:sz w:val="18"/>
                <w:szCs w:val="18"/>
              </w:rPr>
              <w:t>注：S代表可溶性固形物含量；D代表总糖含量</w:t>
            </w:r>
          </w:p>
        </w:tc>
      </w:tr>
    </w:tbl>
    <w:p w14:paraId="4B319054">
      <w:pPr>
        <w:jc w:val="center"/>
        <w:rPr>
          <w:rFonts w:ascii="黑体" w:hAnsi="黑体" w:eastAsia="黑体" w:cs="黑体"/>
        </w:rPr>
      </w:pPr>
    </w:p>
    <w:p w14:paraId="138E0344">
      <w:pPr>
        <w:pStyle w:val="49"/>
        <w:numPr>
          <w:ilvl w:val="0"/>
          <w:numId w:val="0"/>
        </w:numPr>
        <w:spacing w:before="156" w:after="156"/>
      </w:pPr>
      <w:r>
        <w:rPr>
          <w:rFonts w:hint="eastAsia"/>
        </w:rPr>
        <w:t>5.4.4  卫生指标</w:t>
      </w:r>
    </w:p>
    <w:p w14:paraId="669C8C42">
      <w:pPr>
        <w:pStyle w:val="24"/>
        <w:rPr>
          <w:rFonts w:hAnsi="宋体" w:cs="宋体"/>
          <w:color w:val="auto"/>
        </w:rPr>
      </w:pPr>
      <w:r>
        <w:rPr>
          <w:rFonts w:hint="eastAsia" w:hAnsi="宋体" w:cs="宋体"/>
          <w:szCs w:val="21"/>
        </w:rPr>
        <w:t>应符合GB 2761、GB 2762、GB 2763的规定，</w:t>
      </w:r>
      <w:r>
        <w:rPr>
          <w:rFonts w:hint="eastAsia" w:hAnsi="宋体" w:cs="宋体"/>
          <w:color w:val="auto"/>
          <w:szCs w:val="21"/>
        </w:rPr>
        <w:t>按GB 2761、GB 2762、GB 2763规定的方法检验。</w:t>
      </w:r>
    </w:p>
    <w:p w14:paraId="65A672E8">
      <w:pPr>
        <w:pStyle w:val="50"/>
        <w:numPr>
          <w:ilvl w:val="0"/>
          <w:numId w:val="0"/>
        </w:numPr>
        <w:rPr>
          <w:color w:val="auto"/>
        </w:rPr>
      </w:pPr>
      <w:bookmarkStart w:id="34" w:name="_Toc24030460"/>
      <w:r>
        <w:rPr>
          <w:rFonts w:hint="eastAsia"/>
          <w:color w:val="auto"/>
        </w:rPr>
        <w:t xml:space="preserve">5.4.5  </w:t>
      </w:r>
      <w:bookmarkEnd w:id="34"/>
      <w:r>
        <w:rPr>
          <w:rFonts w:hint="eastAsia"/>
          <w:color w:val="auto"/>
        </w:rPr>
        <w:t>净含量</w:t>
      </w:r>
    </w:p>
    <w:p w14:paraId="1A1D5F9E">
      <w:pPr>
        <w:pStyle w:val="10"/>
        <w:spacing w:before="217" w:line="219" w:lineRule="auto"/>
        <w:ind w:left="545"/>
        <w:rPr>
          <w:sz w:val="21"/>
          <w:szCs w:val="21"/>
        </w:rPr>
      </w:pPr>
      <w:r>
        <w:rPr>
          <w:rFonts w:hint="eastAsia"/>
          <w:sz w:val="21"/>
          <w:szCs w:val="21"/>
        </w:rPr>
        <w:t>应符合《定量包装商品计量监督管理办法》的规定。按JJF 1070的规定检验。</w:t>
      </w:r>
    </w:p>
    <w:p w14:paraId="15E538F8">
      <w:pPr>
        <w:pStyle w:val="49"/>
        <w:numPr>
          <w:ilvl w:val="0"/>
          <w:numId w:val="0"/>
        </w:numPr>
        <w:spacing w:before="156" w:after="156"/>
      </w:pPr>
      <w:r>
        <w:rPr>
          <w:rFonts w:hint="eastAsia"/>
        </w:rPr>
        <w:t>6  检验规则</w:t>
      </w:r>
    </w:p>
    <w:p w14:paraId="3625E1EC">
      <w:pPr>
        <w:pStyle w:val="49"/>
        <w:numPr>
          <w:ilvl w:val="0"/>
          <w:numId w:val="0"/>
        </w:numPr>
        <w:spacing w:before="156" w:after="156"/>
      </w:pPr>
      <w:r>
        <w:rPr>
          <w:rFonts w:hint="eastAsia"/>
        </w:rPr>
        <w:t>6.1  组批</w:t>
      </w:r>
    </w:p>
    <w:p w14:paraId="70F28334">
      <w:pPr>
        <w:pStyle w:val="24"/>
      </w:pPr>
      <w:r>
        <w:rPr>
          <w:rFonts w:hint="eastAsia" w:hAnsi="宋体" w:cs="宋体"/>
          <w:szCs w:val="21"/>
        </w:rPr>
        <w:t>同一种植基地、同时采收的同一品种、同一等级和同一包装日期的产品为一个检验批次。</w:t>
      </w:r>
    </w:p>
    <w:p w14:paraId="6CC3365F">
      <w:pPr>
        <w:pStyle w:val="50"/>
        <w:numPr>
          <w:ilvl w:val="0"/>
          <w:numId w:val="0"/>
        </w:numPr>
      </w:pPr>
      <w:bookmarkStart w:id="35" w:name="_Toc24030461"/>
      <w:r>
        <w:rPr>
          <w:rFonts w:hint="eastAsia"/>
        </w:rPr>
        <w:t xml:space="preserve">6.2  </w:t>
      </w:r>
      <w:bookmarkEnd w:id="35"/>
      <w:r>
        <w:rPr>
          <w:rFonts w:hint="eastAsia"/>
        </w:rPr>
        <w:t>抽样</w:t>
      </w:r>
    </w:p>
    <w:p w14:paraId="663DB761">
      <w:pPr>
        <w:pStyle w:val="10"/>
        <w:spacing w:before="218" w:line="220" w:lineRule="auto"/>
        <w:ind w:left="427"/>
        <w:rPr>
          <w:sz w:val="21"/>
          <w:szCs w:val="21"/>
        </w:rPr>
      </w:pPr>
      <w:r>
        <w:rPr>
          <w:sz w:val="21"/>
          <w:szCs w:val="21"/>
        </w:rPr>
        <w:t>按NY/T 5344.4的要求执行。</w:t>
      </w:r>
    </w:p>
    <w:p w14:paraId="7CD83594">
      <w:pPr>
        <w:pStyle w:val="50"/>
        <w:numPr>
          <w:ilvl w:val="0"/>
          <w:numId w:val="0"/>
        </w:numPr>
      </w:pPr>
      <w:bookmarkStart w:id="36" w:name="_Toc24030462"/>
      <w:r>
        <w:rPr>
          <w:rFonts w:hint="eastAsia"/>
        </w:rPr>
        <w:t xml:space="preserve">6.3  </w:t>
      </w:r>
      <w:bookmarkEnd w:id="36"/>
      <w:r>
        <w:rPr>
          <w:rFonts w:hint="eastAsia"/>
        </w:rPr>
        <w:t>交收检验</w:t>
      </w:r>
    </w:p>
    <w:p w14:paraId="6B360497">
      <w:pPr>
        <w:pStyle w:val="10"/>
        <w:spacing w:before="217" w:line="261" w:lineRule="auto"/>
        <w:ind w:right="59" w:firstLine="420" w:firstLineChars="200"/>
      </w:pPr>
      <w:r>
        <w:rPr>
          <w:rFonts w:hint="eastAsia"/>
          <w:sz w:val="21"/>
          <w:szCs w:val="21"/>
        </w:rPr>
        <w:t>每批产品应经生产单位质量检验部门检验合格并附有合格证方可交收，交收检验项目包括感官指 标、可溶性固形物、净含量、包装和标志。</w:t>
      </w:r>
    </w:p>
    <w:p w14:paraId="3B0CB2D5">
      <w:pPr>
        <w:pStyle w:val="47"/>
        <w:numPr>
          <w:ilvl w:val="0"/>
          <w:numId w:val="0"/>
        </w:numPr>
      </w:pPr>
      <w:bookmarkStart w:id="37" w:name="_Toc24030506"/>
      <w:bookmarkStart w:id="38" w:name="_Toc24030463"/>
      <w:bookmarkStart w:id="39" w:name="_Toc24030488"/>
      <w:bookmarkStart w:id="40" w:name="_Toc24031261"/>
      <w:r>
        <w:rPr>
          <w:rFonts w:hint="eastAsia"/>
        </w:rPr>
        <w:t>6.4  型式检验</w:t>
      </w:r>
      <w:bookmarkEnd w:id="37"/>
      <w:bookmarkEnd w:id="38"/>
      <w:bookmarkEnd w:id="39"/>
      <w:bookmarkEnd w:id="40"/>
    </w:p>
    <w:p w14:paraId="5AC55852">
      <w:pPr>
        <w:pStyle w:val="10"/>
        <w:spacing w:before="217" w:line="220" w:lineRule="auto"/>
        <w:ind w:left="431"/>
        <w:rPr>
          <w:sz w:val="21"/>
          <w:szCs w:val="21"/>
        </w:rPr>
      </w:pPr>
      <w:r>
        <w:rPr>
          <w:rFonts w:hint="eastAsia"/>
          <w:sz w:val="21"/>
          <w:szCs w:val="21"/>
        </w:rPr>
        <w:t>型式检验项目为本文件中5.4规定的所有项目，有下列情形之一者应进行型式检验：</w:t>
      </w:r>
    </w:p>
    <w:p w14:paraId="736F1A37">
      <w:pPr>
        <w:pStyle w:val="10"/>
        <w:spacing w:before="63" w:line="220" w:lineRule="auto"/>
        <w:ind w:left="426"/>
        <w:rPr>
          <w:sz w:val="21"/>
          <w:szCs w:val="21"/>
        </w:rPr>
      </w:pPr>
      <w:r>
        <w:rPr>
          <w:rFonts w:hint="eastAsia"/>
          <w:sz w:val="21"/>
          <w:szCs w:val="21"/>
        </w:rPr>
        <w:t>a)  前后两次抽样检验结果差异较大时；</w:t>
      </w:r>
    </w:p>
    <w:p w14:paraId="0A734B20">
      <w:pPr>
        <w:pStyle w:val="10"/>
        <w:spacing w:before="62" w:line="220" w:lineRule="auto"/>
        <w:ind w:left="421"/>
        <w:rPr>
          <w:sz w:val="21"/>
          <w:szCs w:val="21"/>
        </w:rPr>
      </w:pPr>
      <w:r>
        <w:rPr>
          <w:rFonts w:hint="eastAsia"/>
          <w:sz w:val="21"/>
          <w:szCs w:val="21"/>
        </w:rPr>
        <w:t>b)  因人为或自然因素使生产</w:t>
      </w:r>
      <w:r>
        <w:rPr>
          <w:rFonts w:hint="eastAsia"/>
          <w:sz w:val="21"/>
          <w:szCs w:val="21"/>
          <w:lang w:eastAsia="zh-CN"/>
        </w:rPr>
        <w:t>环境</w:t>
      </w:r>
      <w:r>
        <w:rPr>
          <w:rFonts w:hint="eastAsia"/>
          <w:sz w:val="21"/>
          <w:szCs w:val="21"/>
        </w:rPr>
        <w:t>发生较大变化；</w:t>
      </w:r>
    </w:p>
    <w:p w14:paraId="75CBE82B">
      <w:pPr>
        <w:pStyle w:val="24"/>
        <w:rPr>
          <w:rFonts w:hAnsi="宋体" w:cs="宋体"/>
        </w:rPr>
      </w:pPr>
      <w:r>
        <w:rPr>
          <w:rFonts w:hint="eastAsia" w:hAnsi="宋体" w:cs="宋体"/>
          <w:szCs w:val="21"/>
        </w:rPr>
        <w:t xml:space="preserve">c)  国家有关部门提出型式检验要求时。 </w:t>
      </w:r>
    </w:p>
    <w:p w14:paraId="4B0A8CB0">
      <w:pPr>
        <w:pStyle w:val="50"/>
        <w:numPr>
          <w:ilvl w:val="0"/>
          <w:numId w:val="0"/>
        </w:numPr>
      </w:pPr>
      <w:bookmarkStart w:id="41" w:name="_Toc24030464"/>
      <w:r>
        <w:rPr>
          <w:rFonts w:hint="eastAsia"/>
        </w:rPr>
        <w:t xml:space="preserve">6.5  </w:t>
      </w:r>
      <w:bookmarkEnd w:id="41"/>
      <w:r>
        <w:rPr>
          <w:rFonts w:hint="eastAsia"/>
        </w:rPr>
        <w:t>判定规则</w:t>
      </w:r>
    </w:p>
    <w:p w14:paraId="18DF4888">
      <w:pPr>
        <w:pStyle w:val="10"/>
        <w:spacing w:before="217" w:line="261" w:lineRule="auto"/>
        <w:ind w:left="9" w:hanging="5"/>
        <w:rPr>
          <w:sz w:val="21"/>
          <w:szCs w:val="21"/>
        </w:rPr>
      </w:pPr>
      <w:r>
        <w:rPr>
          <w:rFonts w:hint="eastAsia" w:ascii="黑体" w:hAnsi="黑体" w:eastAsia="黑体" w:cs="黑体"/>
          <w:sz w:val="21"/>
          <w:szCs w:val="21"/>
          <w:lang w:eastAsia="zh-CN"/>
        </w:rPr>
        <w:t>6.5.1</w:t>
      </w:r>
      <w:r>
        <w:rPr>
          <w:rFonts w:hint="eastAsia"/>
          <w:lang w:eastAsia="zh-CN"/>
        </w:rPr>
        <w:t xml:space="preserve">  </w:t>
      </w:r>
      <w:r>
        <w:rPr>
          <w:rFonts w:hint="eastAsia"/>
          <w:sz w:val="21"/>
          <w:szCs w:val="21"/>
        </w:rPr>
        <w:t>感官指标不合格品果占总果的百分率不超过5%，且理化指标、卫生指标、净含量、标志均合格，则判该批产品合格。</w:t>
      </w:r>
    </w:p>
    <w:p w14:paraId="5EA54193">
      <w:pPr>
        <w:pStyle w:val="10"/>
        <w:spacing w:before="30" w:line="261" w:lineRule="auto"/>
        <w:ind w:left="5" w:right="57" w:hanging="1"/>
        <w:rPr>
          <w:sz w:val="21"/>
          <w:szCs w:val="21"/>
        </w:rPr>
      </w:pPr>
      <w:r>
        <w:rPr>
          <w:rFonts w:hint="eastAsia" w:ascii="黑体" w:hAnsi="黑体" w:eastAsia="黑体" w:cs="黑体"/>
          <w:sz w:val="21"/>
          <w:szCs w:val="21"/>
          <w:lang w:eastAsia="zh-CN"/>
        </w:rPr>
        <w:t>6.5.2</w:t>
      </w:r>
      <w:r>
        <w:rPr>
          <w:rFonts w:hint="eastAsia"/>
          <w:sz w:val="21"/>
          <w:szCs w:val="21"/>
          <w:lang w:eastAsia="zh-CN"/>
        </w:rPr>
        <w:t xml:space="preserve">  </w:t>
      </w:r>
      <w:r>
        <w:rPr>
          <w:rFonts w:hint="eastAsia"/>
          <w:spacing w:val="-3"/>
          <w:sz w:val="21"/>
          <w:szCs w:val="21"/>
        </w:rPr>
        <w:t>感官指标不合格品果占总果的百分率超过</w:t>
      </w:r>
      <w:r>
        <w:rPr>
          <w:rFonts w:hint="eastAsia"/>
          <w:spacing w:val="-40"/>
          <w:sz w:val="21"/>
          <w:szCs w:val="21"/>
        </w:rPr>
        <w:t xml:space="preserve"> </w:t>
      </w:r>
      <w:r>
        <w:rPr>
          <w:rFonts w:hint="eastAsia"/>
          <w:spacing w:val="-3"/>
          <w:sz w:val="21"/>
          <w:szCs w:val="21"/>
        </w:rPr>
        <w:t>5%，或理化</w:t>
      </w:r>
      <w:r>
        <w:rPr>
          <w:rFonts w:hint="eastAsia"/>
          <w:spacing w:val="-4"/>
          <w:sz w:val="21"/>
          <w:szCs w:val="21"/>
        </w:rPr>
        <w:t>指标、卫生指标、净含量、标志有一项不</w:t>
      </w:r>
      <w:r>
        <w:rPr>
          <w:rFonts w:hint="eastAsia"/>
          <w:spacing w:val="-3"/>
          <w:sz w:val="21"/>
          <w:szCs w:val="21"/>
        </w:rPr>
        <w:t>合格，则判该批产品为不合格。</w:t>
      </w:r>
    </w:p>
    <w:p w14:paraId="1BAEBBEC">
      <w:pPr>
        <w:pStyle w:val="10"/>
        <w:spacing w:before="30" w:line="220" w:lineRule="auto"/>
        <w:ind w:left="4"/>
        <w:rPr>
          <w:sz w:val="21"/>
          <w:szCs w:val="21"/>
        </w:rPr>
      </w:pPr>
      <w:r>
        <w:rPr>
          <w:rFonts w:hint="eastAsia" w:ascii="黑体" w:hAnsi="黑体" w:eastAsia="黑体" w:cs="黑体"/>
          <w:sz w:val="21"/>
          <w:szCs w:val="21"/>
          <w:lang w:eastAsia="zh-CN"/>
        </w:rPr>
        <w:t xml:space="preserve">6.5.3  </w:t>
      </w:r>
      <w:r>
        <w:rPr>
          <w:rFonts w:hint="eastAsia"/>
          <w:spacing w:val="-2"/>
          <w:sz w:val="21"/>
          <w:szCs w:val="21"/>
        </w:rPr>
        <w:t>在采后处理过程中不得进行染色处理，否则为不</w:t>
      </w:r>
      <w:r>
        <w:rPr>
          <w:rFonts w:hint="eastAsia"/>
          <w:spacing w:val="-3"/>
          <w:sz w:val="21"/>
          <w:szCs w:val="21"/>
        </w:rPr>
        <w:t>合格产品。</w:t>
      </w:r>
    </w:p>
    <w:p w14:paraId="4881B4EF">
      <w:pPr>
        <w:pStyle w:val="10"/>
        <w:spacing w:before="69" w:line="220" w:lineRule="auto"/>
        <w:ind w:left="6"/>
        <w:outlineLvl w:val="0"/>
        <w:rPr>
          <w:rFonts w:ascii="黑体" w:hAnsi="黑体" w:eastAsia="黑体" w:cs="黑体"/>
          <w:sz w:val="21"/>
          <w:szCs w:val="21"/>
        </w:rPr>
      </w:pPr>
      <w:bookmarkStart w:id="42" w:name="_Toc24030467"/>
      <w:bookmarkStart w:id="43" w:name="_Toc24030489"/>
      <w:bookmarkStart w:id="44" w:name="_Toc24030507"/>
      <w:bookmarkStart w:id="45" w:name="_Toc24031262"/>
      <w:r>
        <w:rPr>
          <w:rFonts w:hint="eastAsia" w:ascii="黑体" w:hAnsi="黑体" w:eastAsia="黑体" w:cs="黑体"/>
          <w:sz w:val="21"/>
          <w:szCs w:val="21"/>
          <w:lang w:eastAsia="zh-CN"/>
        </w:rPr>
        <w:t xml:space="preserve">7  </w:t>
      </w:r>
      <w:bookmarkEnd w:id="42"/>
      <w:bookmarkEnd w:id="43"/>
      <w:bookmarkEnd w:id="44"/>
      <w:bookmarkEnd w:id="45"/>
      <w:r>
        <w:rPr>
          <w:rFonts w:hint="eastAsia" w:ascii="黑体" w:hAnsi="黑体" w:eastAsia="黑体" w:cs="黑体"/>
          <w:spacing w:val="-3"/>
          <w:sz w:val="21"/>
          <w:szCs w:val="21"/>
        </w:rPr>
        <w:t>标</w:t>
      </w:r>
      <w:r>
        <w:rPr>
          <w:rFonts w:hint="eastAsia" w:ascii="黑体" w:hAnsi="黑体" w:eastAsia="黑体" w:cs="黑体"/>
          <w:spacing w:val="-3"/>
          <w:sz w:val="21"/>
          <w:szCs w:val="21"/>
          <w:lang w:eastAsia="zh-CN"/>
        </w:rPr>
        <w:t>识</w:t>
      </w:r>
      <w:r>
        <w:rPr>
          <w:rFonts w:hint="eastAsia" w:ascii="黑体" w:hAnsi="黑体" w:eastAsia="黑体" w:cs="黑体"/>
          <w:spacing w:val="-3"/>
          <w:sz w:val="21"/>
          <w:szCs w:val="21"/>
        </w:rPr>
        <w:t>、包装、运输、贮存</w:t>
      </w:r>
    </w:p>
    <w:p w14:paraId="44575D01">
      <w:pPr>
        <w:pStyle w:val="50"/>
        <w:numPr>
          <w:ilvl w:val="0"/>
          <w:numId w:val="0"/>
        </w:numPr>
      </w:pPr>
      <w:bookmarkStart w:id="46" w:name="_Toc24030468"/>
      <w:r>
        <w:rPr>
          <w:rFonts w:hint="eastAsia"/>
        </w:rPr>
        <w:t xml:space="preserve">7.1  </w:t>
      </w:r>
      <w:bookmarkEnd w:id="46"/>
      <w:r>
        <w:rPr>
          <w:rFonts w:hint="eastAsia"/>
        </w:rPr>
        <w:t>标识</w:t>
      </w:r>
    </w:p>
    <w:p w14:paraId="1F5D7A93">
      <w:pPr>
        <w:pStyle w:val="24"/>
        <w:ind w:firstLine="0" w:firstLineChars="0"/>
        <w:rPr>
          <w:rFonts w:ascii="黑体" w:hAnsi="黑体" w:eastAsia="黑体" w:cs="黑体"/>
        </w:rPr>
      </w:pPr>
      <w:r>
        <w:rPr>
          <w:rFonts w:hint="eastAsia" w:ascii="黑体" w:hAnsi="黑体" w:eastAsia="黑体" w:cs="黑体"/>
        </w:rPr>
        <w:t>7.1.1 标志</w:t>
      </w:r>
    </w:p>
    <w:p w14:paraId="51DA95D7">
      <w:pPr>
        <w:pStyle w:val="24"/>
        <w:rPr>
          <w:color w:val="auto"/>
        </w:rPr>
      </w:pPr>
      <w:r>
        <w:rPr>
          <w:rFonts w:hint="eastAsia"/>
          <w:color w:val="auto"/>
        </w:rPr>
        <w:t>包装储运图示标志按GB/T 191规定执行，并且符合GB/T 18455的规定。</w:t>
      </w:r>
    </w:p>
    <w:p w14:paraId="16669D59">
      <w:pPr>
        <w:pStyle w:val="49"/>
        <w:numPr>
          <w:ilvl w:val="2"/>
          <w:numId w:val="0"/>
        </w:numPr>
        <w:spacing w:before="156" w:after="156"/>
        <w:rPr>
          <w:color w:val="auto"/>
        </w:rPr>
      </w:pPr>
      <w:r>
        <w:rPr>
          <w:rFonts w:hint="eastAsia" w:hAnsi="黑体" w:cs="黑体"/>
          <w:color w:val="auto"/>
        </w:rPr>
        <w:t xml:space="preserve">7.1.2 </w:t>
      </w:r>
      <w:r>
        <w:rPr>
          <w:rFonts w:hint="eastAsia" w:ascii="宋体" w:hAnsi="宋体" w:eastAsia="宋体" w:cs="宋体"/>
          <w:color w:val="auto"/>
        </w:rPr>
        <w:t xml:space="preserve"> </w:t>
      </w:r>
      <w:r>
        <w:rPr>
          <w:rFonts w:hint="eastAsia"/>
          <w:color w:val="auto"/>
        </w:rPr>
        <w:t>地理标志专用标志</w:t>
      </w:r>
    </w:p>
    <w:p w14:paraId="60F238FB">
      <w:pPr>
        <w:pStyle w:val="24"/>
        <w:rPr>
          <w:color w:val="auto"/>
        </w:rPr>
      </w:pPr>
      <w:r>
        <w:rPr>
          <w:rFonts w:hint="eastAsia"/>
          <w:color w:val="auto"/>
        </w:rPr>
        <w:t>地理标志产品会昌桔柚产地范围内生产者按照本文件生产并符合本文件要求的产品，如需使用“地理标志产品专用标志”，需向赣州市知识产权行政主管部门提出申请，经省级知识产权行政主管部门初审合格，上报国家知识产权局核准后，方可使用会昌桔柚“地理标志产品专用标志”，地理标志专用标志的使用应符合地理标志专用标志相关管理要求。</w:t>
      </w:r>
    </w:p>
    <w:p w14:paraId="543EBB19">
      <w:pPr>
        <w:pStyle w:val="24"/>
        <w:ind w:firstLine="0" w:firstLineChars="0"/>
        <w:rPr>
          <w:rFonts w:ascii="黑体" w:hAnsi="黑体" w:eastAsia="黑体" w:cs="黑体"/>
          <w:color w:val="auto"/>
          <w:szCs w:val="21"/>
        </w:rPr>
      </w:pPr>
      <w:r>
        <w:rPr>
          <w:rFonts w:hint="eastAsia" w:ascii="黑体" w:hAnsi="黑体" w:eastAsia="黑体" w:cs="黑体"/>
          <w:color w:val="auto"/>
          <w:szCs w:val="21"/>
        </w:rPr>
        <w:t>7.1.3  标签</w:t>
      </w:r>
    </w:p>
    <w:p w14:paraId="3438D5AF">
      <w:pPr>
        <w:pStyle w:val="24"/>
        <w:rPr>
          <w:rFonts w:hAnsi="宋体" w:cs="宋体"/>
          <w:color w:val="auto"/>
          <w:szCs w:val="21"/>
        </w:rPr>
      </w:pPr>
      <w:r>
        <w:rPr>
          <w:rFonts w:hint="eastAsia" w:hAnsi="宋体" w:cs="宋体"/>
          <w:color w:val="auto"/>
          <w:szCs w:val="21"/>
        </w:rPr>
        <w:t>产品外包装上应标明产品名称、产地、果品数量、果品等级（一级、二级）、净含量、地理标志产品专用标志、执行标准编号、小心轻放、防晒防雨警示等内容。标志符号应符合 GB/T 191 的规定。</w:t>
      </w:r>
    </w:p>
    <w:p w14:paraId="6D1762CD">
      <w:pPr>
        <w:pStyle w:val="50"/>
        <w:numPr>
          <w:ilvl w:val="0"/>
          <w:numId w:val="0"/>
        </w:numPr>
        <w:rPr>
          <w:color w:val="auto"/>
        </w:rPr>
      </w:pPr>
      <w:bookmarkStart w:id="47" w:name="_Toc24030469"/>
      <w:r>
        <w:rPr>
          <w:rFonts w:hint="eastAsia"/>
          <w:color w:val="auto"/>
        </w:rPr>
        <w:t xml:space="preserve">7.2  </w:t>
      </w:r>
      <w:bookmarkEnd w:id="47"/>
      <w:r>
        <w:rPr>
          <w:rFonts w:hint="eastAsia"/>
          <w:color w:val="auto"/>
        </w:rPr>
        <w:t>包装</w:t>
      </w:r>
    </w:p>
    <w:p w14:paraId="0425268A">
      <w:pPr>
        <w:pStyle w:val="10"/>
        <w:spacing w:before="217" w:line="220" w:lineRule="auto"/>
        <w:ind w:left="427"/>
        <w:rPr>
          <w:color w:val="auto"/>
          <w:sz w:val="21"/>
          <w:szCs w:val="21"/>
        </w:rPr>
      </w:pPr>
      <w:r>
        <w:rPr>
          <w:rFonts w:hint="eastAsia"/>
          <w:color w:val="auto"/>
          <w:sz w:val="21"/>
          <w:szCs w:val="21"/>
        </w:rPr>
        <w:t>按GB/T 13607有关规定执行。</w:t>
      </w:r>
    </w:p>
    <w:p w14:paraId="50479DA2">
      <w:pPr>
        <w:pStyle w:val="49"/>
        <w:numPr>
          <w:ilvl w:val="0"/>
          <w:numId w:val="0"/>
        </w:numPr>
        <w:spacing w:before="156" w:after="156"/>
        <w:rPr>
          <w:color w:val="auto"/>
        </w:rPr>
      </w:pPr>
      <w:r>
        <w:rPr>
          <w:rFonts w:hint="eastAsia"/>
          <w:color w:val="auto"/>
        </w:rPr>
        <w:t>7.3  运输</w:t>
      </w:r>
    </w:p>
    <w:p w14:paraId="029C1EC4">
      <w:pPr>
        <w:pStyle w:val="10"/>
        <w:spacing w:before="217" w:line="220" w:lineRule="auto"/>
        <w:ind w:left="425"/>
        <w:rPr>
          <w:color w:val="auto"/>
          <w:sz w:val="21"/>
          <w:szCs w:val="21"/>
        </w:rPr>
      </w:pPr>
      <w:r>
        <w:rPr>
          <w:rFonts w:hint="eastAsia"/>
          <w:color w:val="auto"/>
          <w:sz w:val="21"/>
          <w:szCs w:val="21"/>
        </w:rPr>
        <w:t>运输工具应清洁、干燥、卫生、无异味。堆放场所注意通风、防晒、防冻、防雨，不得与有毒有害</w:t>
      </w:r>
    </w:p>
    <w:p w14:paraId="60268FF3">
      <w:pPr>
        <w:pStyle w:val="10"/>
        <w:spacing w:before="63" w:line="220" w:lineRule="auto"/>
        <w:ind w:left="6"/>
        <w:rPr>
          <w:color w:val="auto"/>
        </w:rPr>
      </w:pPr>
      <w:r>
        <w:rPr>
          <w:rFonts w:hint="eastAsia"/>
          <w:color w:val="auto"/>
          <w:sz w:val="21"/>
          <w:szCs w:val="21"/>
        </w:rPr>
        <w:t>有污染有异味物品混运混放。</w:t>
      </w:r>
    </w:p>
    <w:p w14:paraId="324A221E">
      <w:pPr>
        <w:pStyle w:val="49"/>
        <w:numPr>
          <w:ilvl w:val="0"/>
          <w:numId w:val="0"/>
        </w:numPr>
        <w:spacing w:before="156" w:after="156"/>
        <w:rPr>
          <w:color w:val="auto"/>
        </w:rPr>
      </w:pPr>
      <w:r>
        <w:rPr>
          <w:rFonts w:hint="eastAsia"/>
          <w:color w:val="auto"/>
        </w:rPr>
        <w:t>7.4  贮存</w:t>
      </w:r>
    </w:p>
    <w:p w14:paraId="29942270">
      <w:pPr>
        <w:pStyle w:val="10"/>
        <w:spacing w:before="217" w:line="220" w:lineRule="auto"/>
        <w:ind w:left="427"/>
        <w:rPr>
          <w:color w:val="auto"/>
          <w:sz w:val="21"/>
          <w:szCs w:val="21"/>
        </w:rPr>
      </w:pPr>
      <w:r>
        <w:rPr>
          <w:rFonts w:hint="eastAsia"/>
          <w:color w:val="auto"/>
          <w:sz w:val="21"/>
          <w:szCs w:val="21"/>
        </w:rPr>
        <w:t>按NY/T 1189的规定执行。</w:t>
      </w:r>
    </w:p>
    <w:p w14:paraId="58F33B27">
      <w:pPr>
        <w:pStyle w:val="24"/>
        <w:rPr>
          <w:color w:val="auto"/>
        </w:rPr>
      </w:pPr>
    </w:p>
    <w:p w14:paraId="3613BC01">
      <w:pPr>
        <w:pStyle w:val="24"/>
        <w:rPr>
          <w:rFonts w:hint="eastAsia"/>
          <w:color w:val="auto"/>
        </w:rPr>
      </w:pPr>
    </w:p>
    <w:p w14:paraId="5194387D">
      <w:pPr>
        <w:pStyle w:val="24"/>
        <w:rPr>
          <w:rFonts w:hint="eastAsia"/>
          <w:color w:val="auto"/>
        </w:rPr>
      </w:pPr>
    </w:p>
    <w:p w14:paraId="25D155DC">
      <w:pPr>
        <w:pStyle w:val="24"/>
        <w:rPr>
          <w:color w:val="auto"/>
        </w:rPr>
      </w:pPr>
    </w:p>
    <w:p w14:paraId="0E7C69D3">
      <w:pPr>
        <w:pStyle w:val="24"/>
        <w:rPr>
          <w:color w:val="auto"/>
        </w:rPr>
      </w:pPr>
    </w:p>
    <w:p w14:paraId="47DD9524">
      <w:pPr>
        <w:pStyle w:val="24"/>
        <w:rPr>
          <w:color w:val="auto"/>
        </w:rPr>
      </w:pPr>
    </w:p>
    <w:p w14:paraId="55930488">
      <w:pPr>
        <w:pStyle w:val="24"/>
        <w:rPr>
          <w:color w:val="auto"/>
        </w:rPr>
      </w:pPr>
    </w:p>
    <w:p w14:paraId="70FA485E">
      <w:pPr>
        <w:pStyle w:val="24"/>
        <w:rPr>
          <w:color w:val="auto"/>
        </w:rPr>
      </w:pPr>
    </w:p>
    <w:p w14:paraId="6737B10F">
      <w:pPr>
        <w:pStyle w:val="24"/>
        <w:rPr>
          <w:color w:val="auto"/>
        </w:rPr>
      </w:pPr>
    </w:p>
    <w:p w14:paraId="5A2C1E8F">
      <w:pPr>
        <w:pStyle w:val="24"/>
        <w:rPr>
          <w:color w:val="auto"/>
        </w:rPr>
      </w:pPr>
    </w:p>
    <w:p w14:paraId="656A2D1C">
      <w:pPr>
        <w:pStyle w:val="24"/>
        <w:rPr>
          <w:color w:val="auto"/>
        </w:rPr>
      </w:pPr>
    </w:p>
    <w:p w14:paraId="4B04DE7D">
      <w:pPr>
        <w:pStyle w:val="24"/>
        <w:rPr>
          <w:color w:val="auto"/>
        </w:rPr>
      </w:pPr>
    </w:p>
    <w:p w14:paraId="03E0FE00">
      <w:pPr>
        <w:pStyle w:val="24"/>
        <w:rPr>
          <w:color w:val="auto"/>
        </w:rPr>
      </w:pPr>
    </w:p>
    <w:p w14:paraId="5ED101A1">
      <w:pPr>
        <w:pStyle w:val="24"/>
        <w:rPr>
          <w:color w:val="auto"/>
        </w:rPr>
      </w:pPr>
    </w:p>
    <w:p w14:paraId="1125A170">
      <w:pPr>
        <w:pStyle w:val="24"/>
        <w:rPr>
          <w:color w:val="auto"/>
        </w:rPr>
      </w:pPr>
    </w:p>
    <w:p w14:paraId="3DACDBC1">
      <w:pPr>
        <w:pStyle w:val="24"/>
        <w:rPr>
          <w:color w:val="auto"/>
        </w:rPr>
      </w:pPr>
    </w:p>
    <w:p w14:paraId="3E40C766">
      <w:pPr>
        <w:pStyle w:val="24"/>
        <w:rPr>
          <w:color w:val="auto"/>
        </w:rPr>
      </w:pPr>
    </w:p>
    <w:p w14:paraId="6E148E22">
      <w:pPr>
        <w:pStyle w:val="24"/>
        <w:rPr>
          <w:color w:val="auto"/>
        </w:rPr>
      </w:pPr>
    </w:p>
    <w:p w14:paraId="4786BB3E">
      <w:pPr>
        <w:pStyle w:val="24"/>
        <w:rPr>
          <w:color w:val="auto"/>
        </w:rPr>
      </w:pPr>
    </w:p>
    <w:p w14:paraId="7F7F5CEA">
      <w:pPr>
        <w:pStyle w:val="24"/>
        <w:rPr>
          <w:color w:val="auto"/>
        </w:rPr>
      </w:pPr>
    </w:p>
    <w:p w14:paraId="7FF272AE">
      <w:pPr>
        <w:pStyle w:val="24"/>
        <w:rPr>
          <w:color w:val="auto"/>
        </w:rPr>
      </w:pPr>
    </w:p>
    <w:p w14:paraId="6798060E">
      <w:pPr>
        <w:pStyle w:val="24"/>
        <w:rPr>
          <w:color w:val="auto"/>
        </w:rPr>
      </w:pPr>
    </w:p>
    <w:p w14:paraId="521F369E">
      <w:pPr>
        <w:pStyle w:val="24"/>
        <w:rPr>
          <w:color w:val="auto"/>
        </w:rPr>
      </w:pPr>
    </w:p>
    <w:p w14:paraId="5A359D3B">
      <w:pPr>
        <w:pStyle w:val="24"/>
        <w:rPr>
          <w:color w:val="auto"/>
        </w:rPr>
      </w:pPr>
    </w:p>
    <w:p w14:paraId="7DB62D5B">
      <w:pPr>
        <w:pStyle w:val="24"/>
        <w:rPr>
          <w:color w:val="auto"/>
        </w:rPr>
      </w:pPr>
    </w:p>
    <w:p w14:paraId="1B93CA33">
      <w:pPr>
        <w:pStyle w:val="24"/>
        <w:rPr>
          <w:color w:val="auto"/>
        </w:rPr>
      </w:pPr>
    </w:p>
    <w:p w14:paraId="28234CCA">
      <w:pPr>
        <w:pStyle w:val="24"/>
        <w:rPr>
          <w:color w:val="auto"/>
        </w:rPr>
      </w:pPr>
    </w:p>
    <w:p w14:paraId="31A062F2">
      <w:pPr>
        <w:pStyle w:val="24"/>
        <w:rPr>
          <w:color w:val="auto"/>
        </w:rPr>
      </w:pPr>
    </w:p>
    <w:p w14:paraId="505ADE5D">
      <w:pPr>
        <w:pStyle w:val="10"/>
        <w:spacing w:before="69" w:line="220" w:lineRule="auto"/>
        <w:ind w:left="3854"/>
        <w:outlineLvl w:val="0"/>
        <w:rPr>
          <w:rFonts w:hint="eastAsia" w:ascii="黑体" w:hAnsi="黑体" w:eastAsia="黑体" w:cs="黑体"/>
          <w:color w:val="auto"/>
          <w:sz w:val="21"/>
          <w:szCs w:val="21"/>
          <w:lang w:eastAsia="zh-CN"/>
        </w:rPr>
      </w:pPr>
    </w:p>
    <w:p w14:paraId="177B8B0E">
      <w:pPr>
        <w:pStyle w:val="10"/>
        <w:spacing w:before="69" w:line="220" w:lineRule="auto"/>
        <w:ind w:left="3854"/>
        <w:outlineLvl w:val="0"/>
        <w:rPr>
          <w:rFonts w:hint="eastAsia" w:ascii="黑体" w:hAnsi="黑体" w:eastAsia="黑体" w:cs="黑体"/>
          <w:color w:val="auto"/>
          <w:sz w:val="21"/>
          <w:szCs w:val="21"/>
          <w:lang w:eastAsia="zh-CN"/>
        </w:rPr>
      </w:pPr>
    </w:p>
    <w:p w14:paraId="191528AA">
      <w:pPr>
        <w:pStyle w:val="10"/>
        <w:spacing w:before="69" w:line="220" w:lineRule="auto"/>
        <w:ind w:left="3854"/>
        <w:outlineLvl w:val="0"/>
        <w:rPr>
          <w:rFonts w:ascii="黑体" w:hAnsi="黑体" w:eastAsia="黑体" w:cs="黑体"/>
          <w:color w:val="auto"/>
          <w:sz w:val="21"/>
          <w:szCs w:val="21"/>
        </w:rPr>
      </w:pPr>
      <w:r>
        <w:rPr>
          <w:rFonts w:hint="eastAsia" w:ascii="黑体" w:hAnsi="黑体" w:eastAsia="黑体" w:cs="黑体"/>
          <w:color w:val="auto"/>
          <w:sz w:val="21"/>
          <w:szCs w:val="21"/>
        </w:rPr>
        <w:t>附  录  A</w:t>
      </w:r>
    </w:p>
    <w:p w14:paraId="46873FC3">
      <w:pPr>
        <w:pStyle w:val="10"/>
        <w:spacing w:before="59" w:line="222" w:lineRule="auto"/>
        <w:ind w:left="3804"/>
        <w:outlineLvl w:val="0"/>
        <w:rPr>
          <w:color w:val="auto"/>
          <w:sz w:val="21"/>
          <w:szCs w:val="21"/>
        </w:rPr>
      </w:pPr>
      <w:r>
        <w:rPr>
          <w:rFonts w:hint="eastAsia"/>
          <w:color w:val="auto"/>
          <w:sz w:val="21"/>
          <w:szCs w:val="21"/>
        </w:rPr>
        <w:t>（规范性）</w:t>
      </w:r>
    </w:p>
    <w:p w14:paraId="027EAC27">
      <w:pPr>
        <w:pStyle w:val="10"/>
        <w:spacing w:before="59" w:line="220" w:lineRule="auto"/>
        <w:ind w:left="2737"/>
        <w:outlineLvl w:val="0"/>
        <w:rPr>
          <w:color w:val="auto"/>
          <w:sz w:val="21"/>
          <w:szCs w:val="21"/>
          <w:lang w:eastAsia="zh-CN"/>
        </w:rPr>
      </w:pPr>
      <w:bookmarkStart w:id="48" w:name="bookmark9"/>
      <w:bookmarkEnd w:id="48"/>
      <w:r>
        <w:rPr>
          <w:rFonts w:hint="eastAsia"/>
          <w:color w:val="auto"/>
          <w:sz w:val="21"/>
          <w:szCs w:val="21"/>
        </w:rPr>
        <w:t>会昌桔柚地理标志产品保护范围图</w:t>
      </w:r>
    </w:p>
    <w:p w14:paraId="1717B4F8">
      <w:pPr>
        <w:pStyle w:val="97"/>
        <w:spacing w:before="156" w:after="156"/>
        <w:rPr>
          <w:color w:val="auto"/>
        </w:rPr>
      </w:pPr>
      <w:r>
        <w:rPr>
          <w:rFonts w:hint="eastAsia"/>
          <w:color w:val="auto"/>
        </w:rPr>
        <w:t>会昌桔柚地理标志产品产地范围图</w:t>
      </w:r>
    </w:p>
    <w:bookmarkEnd w:id="10"/>
    <w:p w14:paraId="4703C927">
      <w:pPr>
        <w:pStyle w:val="24"/>
        <w:jc w:val="left"/>
        <w:rPr>
          <w:rFonts w:hint="eastAsia" w:ascii="黑体" w:hAnsi="黑体" w:eastAsia="黑体" w:cs="黑体"/>
          <w:szCs w:val="21"/>
        </w:rPr>
      </w:pPr>
      <w:r>
        <w:rPr>
          <w:rFonts w:hint="eastAsia" w:hAnsi="宋体" w:cs="宋体"/>
          <w:szCs w:val="21"/>
        </w:rPr>
        <w:drawing>
          <wp:inline distT="0" distB="0" distL="114300" distR="114300">
            <wp:extent cx="5568315" cy="7155180"/>
            <wp:effectExtent l="0" t="0" r="13335" b="7620"/>
            <wp:docPr id="7" name="图片 7" descr="f2898ecddaa9c999fdb7f1948ac62f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f2898ecddaa9c999fdb7f1948ac62f2"/>
                    <pic:cNvPicPr>
                      <a:picLocks noChangeAspect="1"/>
                    </pic:cNvPicPr>
                  </pic:nvPicPr>
                  <pic:blipFill>
                    <a:blip r:embed="rId15"/>
                    <a:stretch>
                      <a:fillRect/>
                    </a:stretch>
                  </pic:blipFill>
                  <pic:spPr>
                    <a:xfrm>
                      <a:off x="0" y="0"/>
                      <a:ext cx="5568315" cy="7154294"/>
                    </a:xfrm>
                    <a:prstGeom prst="rect">
                      <a:avLst/>
                    </a:prstGeom>
                  </pic:spPr>
                </pic:pic>
              </a:graphicData>
            </a:graphic>
          </wp:inline>
        </w:drawing>
      </w:r>
    </w:p>
    <w:p w14:paraId="289FB39B">
      <w:pPr>
        <w:pStyle w:val="10"/>
        <w:spacing w:before="69" w:line="220" w:lineRule="auto"/>
        <w:ind w:left="4335"/>
        <w:outlineLvl w:val="0"/>
        <w:rPr>
          <w:rFonts w:ascii="黑体" w:hAnsi="黑体" w:eastAsia="黑体" w:cs="黑体"/>
          <w:sz w:val="21"/>
          <w:szCs w:val="21"/>
        </w:rPr>
      </w:pPr>
      <w:r>
        <w:rPr>
          <w:rFonts w:hint="eastAsia" w:ascii="黑体" w:hAnsi="黑体" w:eastAsia="黑体" w:cs="黑体"/>
          <w:sz w:val="21"/>
          <w:szCs w:val="21"/>
        </w:rPr>
        <w:t>附  录  B</w:t>
      </w:r>
    </w:p>
    <w:p w14:paraId="0CF07255">
      <w:pPr>
        <w:pStyle w:val="10"/>
        <w:spacing w:before="59" w:line="222" w:lineRule="auto"/>
        <w:ind w:left="4285"/>
        <w:outlineLvl w:val="0"/>
        <w:rPr>
          <w:sz w:val="21"/>
          <w:szCs w:val="21"/>
        </w:rPr>
      </w:pPr>
      <w:r>
        <w:rPr>
          <w:rFonts w:hint="eastAsia"/>
          <w:sz w:val="21"/>
          <w:szCs w:val="21"/>
        </w:rPr>
        <w:t>（规范性）</w:t>
      </w:r>
    </w:p>
    <w:p w14:paraId="6BF2D13A">
      <w:pPr>
        <w:pStyle w:val="10"/>
        <w:spacing w:before="59" w:line="220" w:lineRule="auto"/>
        <w:ind w:left="3743"/>
        <w:outlineLvl w:val="0"/>
        <w:rPr>
          <w:rFonts w:hint="eastAsia"/>
          <w:sz w:val="21"/>
          <w:szCs w:val="21"/>
          <w:lang w:eastAsia="zh-CN"/>
        </w:rPr>
      </w:pPr>
      <w:r>
        <w:rPr>
          <w:rFonts w:hint="eastAsia"/>
          <w:sz w:val="21"/>
          <w:szCs w:val="21"/>
        </w:rPr>
        <w:t>会昌桔柚生产技术规程</w:t>
      </w:r>
    </w:p>
    <w:p w14:paraId="724F52F4">
      <w:pPr>
        <w:pStyle w:val="10"/>
        <w:spacing w:before="69" w:line="220" w:lineRule="auto"/>
        <w:ind w:left="121"/>
        <w:rPr>
          <w:rFonts w:ascii="黑体" w:hAnsi="黑体" w:eastAsia="黑体" w:cs="黑体"/>
          <w:sz w:val="21"/>
        </w:rPr>
      </w:pPr>
      <w:r>
        <w:rPr>
          <w:rFonts w:hint="eastAsia" w:ascii="黑体" w:hAnsi="黑体" w:eastAsia="黑体" w:cs="黑体"/>
          <w:sz w:val="21"/>
          <w:szCs w:val="21"/>
        </w:rPr>
        <w:t>B.1  育苗</w:t>
      </w:r>
    </w:p>
    <w:p w14:paraId="2F12AB0E">
      <w:pPr>
        <w:pStyle w:val="10"/>
        <w:spacing w:before="68" w:line="220" w:lineRule="auto"/>
        <w:ind w:left="121"/>
        <w:rPr>
          <w:rFonts w:ascii="黑体" w:hAnsi="黑体" w:eastAsia="黑体" w:cs="黑体"/>
          <w:sz w:val="21"/>
          <w:szCs w:val="21"/>
        </w:rPr>
      </w:pPr>
      <w:r>
        <w:rPr>
          <w:rFonts w:hint="eastAsia" w:ascii="黑体" w:hAnsi="黑体" w:eastAsia="黑体" w:cs="黑体"/>
          <w:sz w:val="21"/>
          <w:szCs w:val="21"/>
        </w:rPr>
        <w:t>B.1.1  育苗方法</w:t>
      </w:r>
    </w:p>
    <w:p w14:paraId="344F5EA0">
      <w:pPr>
        <w:pStyle w:val="10"/>
        <w:spacing w:before="217" w:line="220" w:lineRule="auto"/>
        <w:ind w:firstLine="420" w:firstLineChars="200"/>
        <w:rPr>
          <w:sz w:val="21"/>
          <w:szCs w:val="21"/>
        </w:rPr>
      </w:pPr>
      <w:r>
        <w:rPr>
          <w:rFonts w:hint="eastAsia"/>
          <w:sz w:val="21"/>
          <w:szCs w:val="21"/>
        </w:rPr>
        <w:t>利用积壳做砧木、采用嫁接方法，在40～50目防虫网室内育苗。</w:t>
      </w:r>
    </w:p>
    <w:p w14:paraId="2E0FD790">
      <w:pPr>
        <w:pStyle w:val="10"/>
        <w:spacing w:before="218" w:line="220" w:lineRule="auto"/>
        <w:ind w:left="121"/>
        <w:rPr>
          <w:rFonts w:ascii="黑体" w:hAnsi="黑体" w:eastAsia="黑体" w:cs="黑体"/>
          <w:sz w:val="21"/>
          <w:szCs w:val="21"/>
        </w:rPr>
      </w:pPr>
      <w:r>
        <w:rPr>
          <w:rFonts w:hint="eastAsia" w:ascii="黑体" w:hAnsi="黑体" w:eastAsia="黑体" w:cs="黑体"/>
          <w:sz w:val="21"/>
          <w:szCs w:val="21"/>
        </w:rPr>
        <w:t>B.1.2  母树选择</w:t>
      </w:r>
    </w:p>
    <w:p w14:paraId="308CF212">
      <w:pPr>
        <w:pStyle w:val="10"/>
        <w:spacing w:before="218" w:line="220" w:lineRule="auto"/>
        <w:ind w:firstLine="420" w:firstLineChars="200"/>
        <w:rPr>
          <w:sz w:val="21"/>
          <w:szCs w:val="21"/>
        </w:rPr>
      </w:pPr>
      <w:r>
        <w:rPr>
          <w:rFonts w:hint="eastAsia"/>
          <w:sz w:val="21"/>
          <w:szCs w:val="21"/>
        </w:rPr>
        <w:t>选</w:t>
      </w:r>
      <w:r>
        <w:rPr>
          <w:rFonts w:hint="eastAsia"/>
          <w:sz w:val="21"/>
          <w:szCs w:val="21"/>
          <w:lang w:eastAsia="zh-CN"/>
        </w:rPr>
        <w:t>择</w:t>
      </w:r>
      <w:r>
        <w:rPr>
          <w:rFonts w:hint="eastAsia"/>
          <w:sz w:val="21"/>
          <w:szCs w:val="21"/>
        </w:rPr>
        <w:t>品种纯正、长势健壮、丰产优质、无检疫性病虫害的成年结果树。</w:t>
      </w:r>
    </w:p>
    <w:p w14:paraId="1E49FE26">
      <w:pPr>
        <w:pStyle w:val="10"/>
        <w:spacing w:before="217" w:line="220" w:lineRule="auto"/>
        <w:ind w:left="121"/>
        <w:rPr>
          <w:rFonts w:ascii="黑体" w:hAnsi="黑体" w:eastAsia="黑体" w:cs="黑体"/>
          <w:sz w:val="21"/>
          <w:szCs w:val="21"/>
        </w:rPr>
      </w:pPr>
      <w:r>
        <w:rPr>
          <w:rFonts w:hint="eastAsia" w:ascii="黑体" w:hAnsi="黑体" w:eastAsia="黑体" w:cs="黑体"/>
          <w:sz w:val="21"/>
          <w:szCs w:val="21"/>
        </w:rPr>
        <w:t>B.1.3  接穗采集</w:t>
      </w:r>
    </w:p>
    <w:p w14:paraId="39A2B0BF">
      <w:pPr>
        <w:pStyle w:val="10"/>
        <w:spacing w:before="218" w:line="220" w:lineRule="auto"/>
        <w:ind w:firstLine="420" w:firstLineChars="200"/>
        <w:rPr>
          <w:sz w:val="21"/>
          <w:szCs w:val="21"/>
        </w:rPr>
      </w:pPr>
      <w:r>
        <w:rPr>
          <w:rFonts w:hint="eastAsia"/>
          <w:sz w:val="21"/>
          <w:szCs w:val="21"/>
        </w:rPr>
        <w:t>从树势健壮的结果母树树冠外围中、上部选取一年生已木质化的春梢或早秋梢。</w:t>
      </w:r>
    </w:p>
    <w:p w14:paraId="25100FA2">
      <w:pPr>
        <w:pStyle w:val="10"/>
        <w:spacing w:before="218" w:line="221" w:lineRule="auto"/>
        <w:ind w:left="121"/>
        <w:rPr>
          <w:rFonts w:ascii="黑体" w:hAnsi="黑体" w:eastAsia="黑体" w:cs="黑体"/>
          <w:sz w:val="21"/>
          <w:szCs w:val="21"/>
        </w:rPr>
      </w:pPr>
      <w:r>
        <w:rPr>
          <w:rFonts w:hint="eastAsia" w:ascii="黑体" w:hAnsi="黑体" w:eastAsia="黑体" w:cs="黑体"/>
          <w:sz w:val="21"/>
          <w:szCs w:val="21"/>
        </w:rPr>
        <w:t>B.1.4  苗木要求</w:t>
      </w:r>
    </w:p>
    <w:p w14:paraId="71FA6FD8">
      <w:pPr>
        <w:pStyle w:val="10"/>
        <w:spacing w:before="217" w:line="220" w:lineRule="auto"/>
        <w:ind w:left="121"/>
        <w:rPr>
          <w:rFonts w:ascii="黑体" w:hAnsi="黑体" w:eastAsia="黑体" w:cs="黑体"/>
          <w:sz w:val="21"/>
          <w:szCs w:val="21"/>
        </w:rPr>
      </w:pPr>
      <w:r>
        <w:rPr>
          <w:rFonts w:hint="eastAsia" w:ascii="黑体" w:hAnsi="黑体" w:eastAsia="黑体" w:cs="黑体"/>
          <w:sz w:val="21"/>
          <w:szCs w:val="21"/>
        </w:rPr>
        <w:t>B.1.4.1  壮苗</w:t>
      </w:r>
    </w:p>
    <w:p w14:paraId="13FDBEE2">
      <w:pPr>
        <w:pStyle w:val="10"/>
        <w:spacing w:before="217" w:line="220" w:lineRule="auto"/>
        <w:ind w:firstLine="420" w:firstLineChars="200"/>
        <w:rPr>
          <w:sz w:val="21"/>
          <w:szCs w:val="21"/>
        </w:rPr>
      </w:pPr>
      <w:r>
        <w:rPr>
          <w:rFonts w:hint="eastAsia"/>
          <w:sz w:val="21"/>
          <w:szCs w:val="21"/>
        </w:rPr>
        <w:t>品种应纯正、根系发达、叶色浓绿、生长势壮、无机械伤害、无检疫性病虫害。</w:t>
      </w:r>
    </w:p>
    <w:p w14:paraId="2C3E6F08">
      <w:pPr>
        <w:pStyle w:val="10"/>
        <w:spacing w:before="225" w:line="221" w:lineRule="auto"/>
        <w:ind w:left="121"/>
        <w:rPr>
          <w:rFonts w:ascii="黑体" w:hAnsi="黑体" w:eastAsia="黑体" w:cs="黑体"/>
          <w:sz w:val="21"/>
          <w:szCs w:val="21"/>
        </w:rPr>
      </w:pPr>
      <w:r>
        <w:rPr>
          <w:rFonts w:hint="eastAsia" w:ascii="黑体" w:hAnsi="黑体" w:eastAsia="黑体" w:cs="黑体"/>
          <w:sz w:val="21"/>
          <w:szCs w:val="21"/>
        </w:rPr>
        <w:t>B.1.4.2  标准</w:t>
      </w:r>
    </w:p>
    <w:p w14:paraId="5992F72B">
      <w:pPr>
        <w:pStyle w:val="10"/>
        <w:spacing w:before="198" w:line="220" w:lineRule="auto"/>
        <w:ind w:firstLine="420" w:firstLineChars="200"/>
        <w:rPr>
          <w:sz w:val="21"/>
          <w:szCs w:val="21"/>
        </w:rPr>
      </w:pPr>
      <w:r>
        <w:rPr>
          <w:rFonts w:hint="eastAsia"/>
          <w:sz w:val="21"/>
          <w:szCs w:val="21"/>
        </w:rPr>
        <w:t>见表B.1。</w:t>
      </w:r>
    </w:p>
    <w:p w14:paraId="02A43FB3">
      <w:pPr>
        <w:pStyle w:val="10"/>
        <w:spacing w:before="218" w:line="220" w:lineRule="auto"/>
        <w:jc w:val="center"/>
        <w:rPr>
          <w:sz w:val="21"/>
          <w:szCs w:val="21"/>
        </w:rPr>
      </w:pPr>
      <w:r>
        <w:rPr>
          <w:rFonts w:hint="eastAsia" w:ascii="黑体" w:hAnsi="黑体" w:eastAsia="黑体" w:cs="黑体"/>
          <w:sz w:val="21"/>
          <w:szCs w:val="21"/>
        </w:rPr>
        <w:t>表 B.1  一年生嫁接苗分级标准</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3"/>
        <w:gridCol w:w="1335"/>
        <w:gridCol w:w="1725"/>
        <w:gridCol w:w="1710"/>
        <w:gridCol w:w="2452"/>
        <w:gridCol w:w="1596"/>
      </w:tblGrid>
      <w:tr w14:paraId="512C4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vAlign w:val="center"/>
          </w:tcPr>
          <w:p w14:paraId="639FEF82">
            <w:pPr>
              <w:pStyle w:val="10"/>
              <w:spacing w:before="218" w:line="220" w:lineRule="auto"/>
              <w:jc w:val="center"/>
              <w:rPr>
                <w:rFonts w:ascii="黑体" w:hAnsi="黑体" w:eastAsia="黑体" w:cs="黑体"/>
                <w:sz w:val="21"/>
                <w:szCs w:val="21"/>
                <w:lang w:eastAsia="zh-CN"/>
              </w:rPr>
            </w:pPr>
            <w:r>
              <w:rPr>
                <w:rFonts w:hint="eastAsia" w:ascii="黑体" w:hAnsi="黑体" w:eastAsia="黑体" w:cs="黑体"/>
                <w:sz w:val="21"/>
                <w:szCs w:val="21"/>
                <w:lang w:eastAsia="zh-CN"/>
              </w:rPr>
              <w:t>级别</w:t>
            </w:r>
          </w:p>
        </w:tc>
        <w:tc>
          <w:tcPr>
            <w:tcW w:w="1335" w:type="dxa"/>
            <w:vAlign w:val="center"/>
          </w:tcPr>
          <w:p w14:paraId="6D8AEFF8">
            <w:pPr>
              <w:pStyle w:val="10"/>
              <w:spacing w:before="218" w:line="220" w:lineRule="auto"/>
              <w:jc w:val="center"/>
              <w:rPr>
                <w:rFonts w:ascii="黑体" w:hAnsi="黑体" w:eastAsia="黑体" w:cs="黑体"/>
                <w:sz w:val="21"/>
                <w:szCs w:val="21"/>
                <w:lang w:eastAsia="zh-CN"/>
              </w:rPr>
            </w:pPr>
            <w:r>
              <w:rPr>
                <w:rFonts w:hint="eastAsia" w:ascii="黑体" w:hAnsi="黑体" w:eastAsia="黑体" w:cs="黑体"/>
                <w:sz w:val="21"/>
                <w:szCs w:val="21"/>
                <w:lang w:eastAsia="zh-CN"/>
              </w:rPr>
              <w:t>苗木高/cm</w:t>
            </w:r>
          </w:p>
        </w:tc>
        <w:tc>
          <w:tcPr>
            <w:tcW w:w="1725" w:type="dxa"/>
            <w:vAlign w:val="center"/>
          </w:tcPr>
          <w:p w14:paraId="06E0BD62">
            <w:pPr>
              <w:pStyle w:val="10"/>
              <w:spacing w:before="218" w:line="220" w:lineRule="auto"/>
              <w:jc w:val="center"/>
              <w:rPr>
                <w:rFonts w:ascii="黑体" w:hAnsi="黑体" w:eastAsia="黑体" w:cs="黑体"/>
                <w:sz w:val="21"/>
                <w:szCs w:val="21"/>
                <w:lang w:eastAsia="zh-CN"/>
              </w:rPr>
            </w:pPr>
            <w:r>
              <w:rPr>
                <w:rFonts w:hint="eastAsia" w:ascii="黑体" w:hAnsi="黑体" w:eastAsia="黑体" w:cs="黑体"/>
                <w:sz w:val="21"/>
                <w:szCs w:val="21"/>
                <w:lang w:eastAsia="zh-CN"/>
              </w:rPr>
              <w:t>苗木径粗/cm</w:t>
            </w:r>
          </w:p>
        </w:tc>
        <w:tc>
          <w:tcPr>
            <w:tcW w:w="1710" w:type="dxa"/>
            <w:vAlign w:val="center"/>
          </w:tcPr>
          <w:p w14:paraId="388511AD">
            <w:pPr>
              <w:pStyle w:val="10"/>
              <w:spacing w:before="218" w:line="220" w:lineRule="auto"/>
              <w:jc w:val="center"/>
              <w:rPr>
                <w:rFonts w:ascii="黑体" w:hAnsi="黑体" w:eastAsia="黑体" w:cs="黑体"/>
                <w:sz w:val="21"/>
                <w:szCs w:val="21"/>
                <w:lang w:eastAsia="zh-CN"/>
              </w:rPr>
            </w:pPr>
            <w:r>
              <w:rPr>
                <w:rFonts w:hint="eastAsia" w:ascii="黑体" w:hAnsi="黑体" w:eastAsia="黑体" w:cs="黑体"/>
                <w:sz w:val="21"/>
                <w:szCs w:val="21"/>
                <w:lang w:eastAsia="zh-CN"/>
              </w:rPr>
              <w:t>每条主枝长/cm</w:t>
            </w:r>
          </w:p>
        </w:tc>
        <w:tc>
          <w:tcPr>
            <w:tcW w:w="2452" w:type="dxa"/>
            <w:vAlign w:val="center"/>
          </w:tcPr>
          <w:p w14:paraId="2D2FA0E7">
            <w:pPr>
              <w:pStyle w:val="10"/>
              <w:spacing w:before="218" w:line="220" w:lineRule="auto"/>
              <w:jc w:val="center"/>
              <w:rPr>
                <w:rFonts w:ascii="黑体" w:hAnsi="黑体" w:eastAsia="黑体" w:cs="黑体"/>
                <w:sz w:val="21"/>
                <w:szCs w:val="21"/>
                <w:lang w:eastAsia="zh-CN"/>
              </w:rPr>
            </w:pPr>
            <w:r>
              <w:rPr>
                <w:rFonts w:hint="eastAsia" w:ascii="黑体" w:hAnsi="黑体" w:eastAsia="黑体" w:cs="黑体"/>
                <w:sz w:val="21"/>
                <w:szCs w:val="21"/>
                <w:lang w:eastAsia="zh-CN"/>
              </w:rPr>
              <w:t>符合长度的主枝条数/条</w:t>
            </w:r>
          </w:p>
        </w:tc>
        <w:tc>
          <w:tcPr>
            <w:tcW w:w="1596" w:type="dxa"/>
            <w:vAlign w:val="center"/>
          </w:tcPr>
          <w:p w14:paraId="5C1D329D">
            <w:pPr>
              <w:pStyle w:val="10"/>
              <w:spacing w:before="218" w:line="220" w:lineRule="auto"/>
              <w:jc w:val="center"/>
              <w:rPr>
                <w:rFonts w:ascii="黑体" w:hAnsi="黑体" w:eastAsia="黑体" w:cs="黑体"/>
                <w:sz w:val="21"/>
                <w:szCs w:val="21"/>
                <w:lang w:eastAsia="zh-CN"/>
              </w:rPr>
            </w:pPr>
            <w:r>
              <w:rPr>
                <w:rFonts w:hint="eastAsia" w:ascii="黑体" w:hAnsi="黑体" w:eastAsia="黑体" w:cs="黑体"/>
                <w:sz w:val="21"/>
                <w:szCs w:val="21"/>
                <w:lang w:eastAsia="zh-CN"/>
              </w:rPr>
              <w:t>根系</w:t>
            </w:r>
          </w:p>
        </w:tc>
      </w:tr>
      <w:tr w14:paraId="2C03E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vAlign w:val="center"/>
          </w:tcPr>
          <w:p w14:paraId="4BC87DC7">
            <w:pPr>
              <w:pStyle w:val="10"/>
              <w:spacing w:before="218" w:line="220" w:lineRule="auto"/>
              <w:jc w:val="center"/>
              <w:rPr>
                <w:sz w:val="21"/>
                <w:szCs w:val="21"/>
                <w:lang w:eastAsia="zh-CN"/>
              </w:rPr>
            </w:pPr>
            <w:r>
              <w:rPr>
                <w:rFonts w:hint="eastAsia"/>
                <w:sz w:val="21"/>
                <w:szCs w:val="21"/>
                <w:lang w:eastAsia="zh-CN"/>
              </w:rPr>
              <w:t>一级</w:t>
            </w:r>
          </w:p>
        </w:tc>
        <w:tc>
          <w:tcPr>
            <w:tcW w:w="1335" w:type="dxa"/>
            <w:shd w:val="clear" w:color="auto" w:fill="auto"/>
            <w:vAlign w:val="center"/>
          </w:tcPr>
          <w:p w14:paraId="7761AAA4">
            <w:pPr>
              <w:spacing w:before="211" w:line="237" w:lineRule="auto"/>
              <w:jc w:val="center"/>
              <w:rPr>
                <w:rFonts w:ascii="宋体" w:hAnsi="宋体" w:cs="宋体"/>
                <w:szCs w:val="21"/>
              </w:rPr>
            </w:pPr>
            <w:r>
              <w:rPr>
                <w:rFonts w:hint="eastAsia" w:ascii="宋体" w:hAnsi="宋体" w:cs="宋体"/>
                <w:spacing w:val="-10"/>
                <w:szCs w:val="21"/>
              </w:rPr>
              <w:t>≥60</w:t>
            </w:r>
          </w:p>
        </w:tc>
        <w:tc>
          <w:tcPr>
            <w:tcW w:w="1725" w:type="dxa"/>
            <w:shd w:val="clear" w:color="auto" w:fill="auto"/>
            <w:vAlign w:val="center"/>
          </w:tcPr>
          <w:p w14:paraId="535CE78E">
            <w:pPr>
              <w:spacing w:before="211" w:line="237" w:lineRule="auto"/>
              <w:jc w:val="center"/>
              <w:rPr>
                <w:rFonts w:ascii="宋体" w:hAnsi="宋体" w:cs="宋体"/>
                <w:szCs w:val="21"/>
              </w:rPr>
            </w:pPr>
            <w:r>
              <w:rPr>
                <w:rFonts w:hint="eastAsia" w:ascii="宋体" w:hAnsi="宋体" w:cs="宋体"/>
                <w:spacing w:val="-8"/>
                <w:szCs w:val="21"/>
              </w:rPr>
              <w:t>≥1.0</w:t>
            </w:r>
          </w:p>
        </w:tc>
        <w:tc>
          <w:tcPr>
            <w:tcW w:w="1710" w:type="dxa"/>
            <w:shd w:val="clear" w:color="auto" w:fill="auto"/>
            <w:vAlign w:val="center"/>
          </w:tcPr>
          <w:p w14:paraId="26844EA1">
            <w:pPr>
              <w:spacing w:before="211" w:line="237" w:lineRule="auto"/>
              <w:jc w:val="center"/>
              <w:rPr>
                <w:rFonts w:ascii="宋体" w:hAnsi="宋体" w:cs="宋体"/>
                <w:szCs w:val="21"/>
              </w:rPr>
            </w:pPr>
            <w:r>
              <w:rPr>
                <w:rFonts w:hint="eastAsia" w:ascii="宋体" w:hAnsi="宋体" w:cs="宋体"/>
                <w:spacing w:val="-11"/>
                <w:szCs w:val="21"/>
              </w:rPr>
              <w:t>≥20</w:t>
            </w:r>
          </w:p>
        </w:tc>
        <w:tc>
          <w:tcPr>
            <w:tcW w:w="2452" w:type="dxa"/>
            <w:vMerge w:val="restart"/>
            <w:shd w:val="clear" w:color="auto" w:fill="auto"/>
            <w:vAlign w:val="center"/>
          </w:tcPr>
          <w:p w14:paraId="15B48439">
            <w:pPr>
              <w:spacing w:before="58" w:line="237" w:lineRule="auto"/>
              <w:jc w:val="center"/>
              <w:rPr>
                <w:rFonts w:ascii="宋体" w:hAnsi="宋体" w:cs="宋体"/>
                <w:szCs w:val="21"/>
              </w:rPr>
            </w:pPr>
            <w:r>
              <w:rPr>
                <w:rFonts w:hint="eastAsia" w:ascii="宋体" w:hAnsi="宋体" w:cs="宋体"/>
                <w:spacing w:val="-15"/>
                <w:szCs w:val="21"/>
              </w:rPr>
              <w:t>≥3</w:t>
            </w:r>
          </w:p>
        </w:tc>
        <w:tc>
          <w:tcPr>
            <w:tcW w:w="1596" w:type="dxa"/>
            <w:vMerge w:val="restart"/>
            <w:shd w:val="clear" w:color="auto" w:fill="auto"/>
            <w:vAlign w:val="center"/>
          </w:tcPr>
          <w:p w14:paraId="174A1078">
            <w:pPr>
              <w:spacing w:before="58" w:line="307" w:lineRule="auto"/>
              <w:ind w:right="43"/>
              <w:rPr>
                <w:rFonts w:ascii="宋体" w:hAnsi="宋体" w:cs="宋体"/>
                <w:szCs w:val="21"/>
              </w:rPr>
            </w:pPr>
            <w:r>
              <w:rPr>
                <w:rFonts w:hint="eastAsia" w:ascii="宋体" w:hAnsi="宋体" w:cs="宋体"/>
                <w:spacing w:val="-12"/>
                <w:szCs w:val="21"/>
              </w:rPr>
              <w:t>根系发达，主根长</w:t>
            </w:r>
            <w:r>
              <w:rPr>
                <w:rFonts w:hint="eastAsia" w:ascii="宋体" w:hAnsi="宋体" w:cs="宋体"/>
                <w:spacing w:val="-35"/>
                <w:szCs w:val="21"/>
              </w:rPr>
              <w:t xml:space="preserve"> </w:t>
            </w:r>
            <w:r>
              <w:rPr>
                <w:rFonts w:hint="eastAsia" w:ascii="宋体" w:hAnsi="宋体" w:cs="宋体"/>
                <w:spacing w:val="-12"/>
                <w:szCs w:val="21"/>
              </w:rPr>
              <w:t>20</w:t>
            </w:r>
            <w:r>
              <w:rPr>
                <w:rFonts w:hint="eastAsia" w:ascii="宋体" w:hAnsi="宋体" w:cs="宋体"/>
                <w:spacing w:val="-32"/>
                <w:szCs w:val="21"/>
              </w:rPr>
              <w:t xml:space="preserve"> </w:t>
            </w:r>
            <w:r>
              <w:rPr>
                <w:rFonts w:hint="eastAsia" w:ascii="宋体" w:hAnsi="宋体" w:cs="宋体"/>
                <w:spacing w:val="-12"/>
                <w:szCs w:val="21"/>
              </w:rPr>
              <w:t>㎝以上，</w:t>
            </w:r>
            <w:r>
              <w:rPr>
                <w:rFonts w:hint="eastAsia" w:ascii="宋体" w:hAnsi="宋体" w:cs="宋体"/>
                <w:szCs w:val="21"/>
              </w:rPr>
              <w:t xml:space="preserve"> </w:t>
            </w:r>
            <w:r>
              <w:rPr>
                <w:rFonts w:hint="eastAsia" w:ascii="宋体" w:hAnsi="宋体" w:cs="宋体"/>
                <w:spacing w:val="-6"/>
                <w:szCs w:val="21"/>
              </w:rPr>
              <w:t>侧根</w:t>
            </w:r>
            <w:r>
              <w:rPr>
                <w:rFonts w:hint="eastAsia" w:ascii="宋体" w:hAnsi="宋体" w:cs="宋体"/>
                <w:spacing w:val="-35"/>
                <w:szCs w:val="21"/>
              </w:rPr>
              <w:t xml:space="preserve"> </w:t>
            </w:r>
            <w:r>
              <w:rPr>
                <w:rFonts w:hint="eastAsia" w:ascii="宋体" w:hAnsi="宋体" w:cs="宋体"/>
                <w:spacing w:val="-6"/>
                <w:szCs w:val="21"/>
              </w:rPr>
              <w:t>3</w:t>
            </w:r>
            <w:r>
              <w:rPr>
                <w:rFonts w:hint="eastAsia" w:ascii="宋体" w:hAnsi="宋体" w:cs="宋体"/>
                <w:spacing w:val="-35"/>
                <w:szCs w:val="21"/>
              </w:rPr>
              <w:t xml:space="preserve"> </w:t>
            </w:r>
            <w:r>
              <w:rPr>
                <w:rFonts w:hint="eastAsia" w:ascii="宋体" w:hAnsi="宋体" w:cs="宋体"/>
                <w:spacing w:val="-6"/>
                <w:szCs w:val="21"/>
              </w:rPr>
              <w:t>条以上</w:t>
            </w:r>
          </w:p>
        </w:tc>
      </w:tr>
      <w:tr w14:paraId="1366D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vAlign w:val="center"/>
          </w:tcPr>
          <w:p w14:paraId="13A49B4F">
            <w:pPr>
              <w:pStyle w:val="10"/>
              <w:spacing w:before="218" w:line="220" w:lineRule="auto"/>
              <w:jc w:val="center"/>
              <w:rPr>
                <w:sz w:val="21"/>
                <w:szCs w:val="21"/>
                <w:lang w:eastAsia="zh-CN"/>
              </w:rPr>
            </w:pPr>
            <w:r>
              <w:rPr>
                <w:rFonts w:hint="eastAsia"/>
                <w:sz w:val="21"/>
                <w:szCs w:val="21"/>
                <w:lang w:eastAsia="zh-CN"/>
              </w:rPr>
              <w:t>二级</w:t>
            </w:r>
          </w:p>
        </w:tc>
        <w:tc>
          <w:tcPr>
            <w:tcW w:w="1335" w:type="dxa"/>
            <w:shd w:val="clear" w:color="auto" w:fill="auto"/>
            <w:vAlign w:val="center"/>
          </w:tcPr>
          <w:p w14:paraId="19650BA0">
            <w:pPr>
              <w:spacing w:before="240" w:line="183" w:lineRule="auto"/>
              <w:jc w:val="center"/>
              <w:rPr>
                <w:rFonts w:ascii="宋体" w:hAnsi="宋体" w:cs="宋体"/>
                <w:szCs w:val="21"/>
              </w:rPr>
            </w:pPr>
            <w:r>
              <w:rPr>
                <w:rFonts w:hint="eastAsia" w:ascii="宋体" w:hAnsi="宋体" w:cs="宋体"/>
                <w:spacing w:val="-3"/>
                <w:szCs w:val="21"/>
              </w:rPr>
              <w:t>45～60</w:t>
            </w:r>
          </w:p>
        </w:tc>
        <w:tc>
          <w:tcPr>
            <w:tcW w:w="1725" w:type="dxa"/>
            <w:shd w:val="clear" w:color="auto" w:fill="auto"/>
            <w:vAlign w:val="center"/>
          </w:tcPr>
          <w:p w14:paraId="5AEE0518">
            <w:pPr>
              <w:spacing w:before="239" w:line="184" w:lineRule="auto"/>
              <w:jc w:val="center"/>
              <w:rPr>
                <w:rFonts w:ascii="宋体" w:hAnsi="宋体" w:cs="宋体"/>
                <w:szCs w:val="21"/>
              </w:rPr>
            </w:pPr>
            <w:r>
              <w:rPr>
                <w:rFonts w:hint="eastAsia" w:ascii="宋体" w:hAnsi="宋体" w:cs="宋体"/>
                <w:spacing w:val="-3"/>
                <w:szCs w:val="21"/>
              </w:rPr>
              <w:t>0.8～1.0</w:t>
            </w:r>
          </w:p>
        </w:tc>
        <w:tc>
          <w:tcPr>
            <w:tcW w:w="1710" w:type="dxa"/>
            <w:shd w:val="clear" w:color="auto" w:fill="auto"/>
            <w:vAlign w:val="center"/>
          </w:tcPr>
          <w:p w14:paraId="64901C40">
            <w:pPr>
              <w:spacing w:before="239" w:line="184" w:lineRule="auto"/>
              <w:jc w:val="center"/>
              <w:rPr>
                <w:rFonts w:ascii="宋体" w:hAnsi="宋体" w:cs="宋体"/>
                <w:szCs w:val="21"/>
              </w:rPr>
            </w:pPr>
            <w:r>
              <w:rPr>
                <w:rFonts w:hint="eastAsia" w:ascii="宋体" w:hAnsi="宋体" w:cs="宋体"/>
                <w:spacing w:val="-6"/>
                <w:szCs w:val="21"/>
              </w:rPr>
              <w:t>15～20</w:t>
            </w:r>
          </w:p>
        </w:tc>
        <w:tc>
          <w:tcPr>
            <w:tcW w:w="2452" w:type="dxa"/>
            <w:vMerge w:val="continue"/>
          </w:tcPr>
          <w:p w14:paraId="33C6CB62">
            <w:pPr>
              <w:pStyle w:val="10"/>
              <w:spacing w:before="218" w:line="220" w:lineRule="auto"/>
              <w:jc w:val="center"/>
              <w:rPr>
                <w:sz w:val="21"/>
                <w:szCs w:val="21"/>
              </w:rPr>
            </w:pPr>
          </w:p>
        </w:tc>
        <w:tc>
          <w:tcPr>
            <w:tcW w:w="1596" w:type="dxa"/>
            <w:vMerge w:val="continue"/>
          </w:tcPr>
          <w:p w14:paraId="35E97413">
            <w:pPr>
              <w:pStyle w:val="10"/>
              <w:spacing w:before="218" w:line="220" w:lineRule="auto"/>
              <w:jc w:val="center"/>
              <w:rPr>
                <w:sz w:val="21"/>
                <w:szCs w:val="21"/>
              </w:rPr>
            </w:pPr>
          </w:p>
        </w:tc>
      </w:tr>
      <w:tr w14:paraId="72412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gridSpan w:val="6"/>
          </w:tcPr>
          <w:p w14:paraId="1C4FA664">
            <w:pPr>
              <w:spacing w:before="69" w:line="219" w:lineRule="auto"/>
              <w:rPr>
                <w:rFonts w:ascii="宋体" w:hAnsi="宋体" w:cs="宋体"/>
                <w:spacing w:val="-3"/>
                <w:sz w:val="18"/>
                <w:szCs w:val="18"/>
              </w:rPr>
            </w:pPr>
            <w:r>
              <w:rPr>
                <w:rFonts w:hint="eastAsia" w:ascii="宋体" w:hAnsi="宋体" w:cs="宋体"/>
                <w:spacing w:val="-3"/>
                <w:sz w:val="18"/>
                <w:szCs w:val="18"/>
              </w:rPr>
              <w:t>注1：苗木高度自地面量至苗木顶端；</w:t>
            </w:r>
          </w:p>
          <w:p w14:paraId="0825488B">
            <w:pPr>
              <w:spacing w:before="69" w:line="219" w:lineRule="auto"/>
              <w:rPr>
                <w:rFonts w:ascii="宋体" w:hAnsi="宋体" w:cs="宋体"/>
                <w:szCs w:val="21"/>
              </w:rPr>
            </w:pPr>
            <w:r>
              <w:rPr>
                <w:rFonts w:hint="eastAsia" w:ascii="宋体" w:hAnsi="宋体" w:cs="宋体"/>
                <w:spacing w:val="-2"/>
                <w:sz w:val="18"/>
                <w:szCs w:val="18"/>
              </w:rPr>
              <w:t>注2：苗木径粗以游标卡尺测量嫁接口上方2㎝处</w:t>
            </w:r>
            <w:r>
              <w:rPr>
                <w:rFonts w:hint="eastAsia" w:ascii="宋体" w:hAnsi="宋体" w:cs="宋体"/>
                <w:spacing w:val="-3"/>
                <w:sz w:val="18"/>
                <w:szCs w:val="18"/>
              </w:rPr>
              <w:t>最粗直径。</w:t>
            </w:r>
          </w:p>
        </w:tc>
      </w:tr>
    </w:tbl>
    <w:p w14:paraId="26049A11">
      <w:pPr>
        <w:pStyle w:val="10"/>
        <w:spacing w:before="218" w:line="220" w:lineRule="auto"/>
        <w:rPr>
          <w:sz w:val="21"/>
          <w:szCs w:val="21"/>
        </w:rPr>
      </w:pPr>
    </w:p>
    <w:p w14:paraId="217E9D02">
      <w:pPr>
        <w:pStyle w:val="10"/>
        <w:spacing w:before="59" w:line="220" w:lineRule="auto"/>
        <w:outlineLvl w:val="0"/>
        <w:rPr>
          <w:rFonts w:ascii="黑体" w:hAnsi="黑体" w:eastAsia="黑体" w:cs="黑体"/>
          <w:sz w:val="21"/>
          <w:szCs w:val="21"/>
          <w:lang w:eastAsia="zh-CN"/>
        </w:rPr>
      </w:pPr>
      <w:r>
        <w:rPr>
          <w:rFonts w:hint="eastAsia" w:ascii="黑体" w:hAnsi="黑体" w:eastAsia="黑体" w:cs="黑体"/>
          <w:sz w:val="21"/>
          <w:szCs w:val="21"/>
          <w:lang w:eastAsia="zh-CN"/>
        </w:rPr>
        <w:t>B.2  建园</w:t>
      </w:r>
    </w:p>
    <w:p w14:paraId="2E36D996">
      <w:pPr>
        <w:pStyle w:val="10"/>
        <w:spacing w:before="20" w:line="262" w:lineRule="auto"/>
        <w:ind w:left="20" w:right="20" w:firstLine="439"/>
        <w:rPr>
          <w:sz w:val="21"/>
          <w:szCs w:val="21"/>
        </w:rPr>
      </w:pPr>
      <w:r>
        <w:rPr>
          <w:rFonts w:hint="eastAsia"/>
          <w:sz w:val="21"/>
          <w:szCs w:val="21"/>
        </w:rPr>
        <w:t>园地选择无环境污染、交通方便、水源充足、土层深厚、pH5.5～6.5、土壤疏松、土层深厚、坡度 较缓（25°以内）、背风向阳的半山种植。修建等高水平梯台，台面宽4m，台面外高（地埂）内低，内  侧挖竹节蓄水沟，挖栽植大穴，园地开好排灌沟和山边沟。并建蓄水池、药池。</w:t>
      </w:r>
    </w:p>
    <w:p w14:paraId="04A04553">
      <w:pPr>
        <w:pStyle w:val="10"/>
        <w:spacing w:before="59" w:line="220" w:lineRule="auto"/>
        <w:outlineLvl w:val="0"/>
        <w:rPr>
          <w:rFonts w:ascii="黑体" w:hAnsi="黑体" w:eastAsia="黑体" w:cs="黑体"/>
          <w:sz w:val="21"/>
          <w:szCs w:val="21"/>
          <w:lang w:eastAsia="zh-CN"/>
        </w:rPr>
      </w:pPr>
      <w:r>
        <w:rPr>
          <w:rFonts w:hint="eastAsia" w:ascii="黑体" w:hAnsi="黑体" w:eastAsia="黑体" w:cs="黑体"/>
          <w:sz w:val="21"/>
          <w:szCs w:val="21"/>
          <w:lang w:eastAsia="zh-CN"/>
        </w:rPr>
        <w:t>B.3  栽培管理</w:t>
      </w:r>
    </w:p>
    <w:p w14:paraId="02B1B744">
      <w:pPr>
        <w:pStyle w:val="10"/>
        <w:spacing w:before="59" w:line="220" w:lineRule="auto"/>
        <w:outlineLvl w:val="0"/>
        <w:rPr>
          <w:rFonts w:ascii="黑体" w:hAnsi="黑体" w:eastAsia="黑体" w:cs="黑体"/>
          <w:sz w:val="21"/>
          <w:szCs w:val="21"/>
          <w:lang w:eastAsia="zh-CN"/>
        </w:rPr>
      </w:pPr>
      <w:r>
        <w:rPr>
          <w:rFonts w:hint="eastAsia" w:ascii="黑体" w:hAnsi="黑体" w:eastAsia="黑体" w:cs="黑体"/>
          <w:sz w:val="21"/>
          <w:szCs w:val="21"/>
          <w:lang w:eastAsia="zh-CN"/>
        </w:rPr>
        <w:t>B.3.1  定植时间</w:t>
      </w:r>
    </w:p>
    <w:p w14:paraId="3EA9F592">
      <w:pPr>
        <w:pStyle w:val="10"/>
        <w:spacing w:before="218" w:line="260" w:lineRule="auto"/>
        <w:ind w:left="3" w:right="74" w:firstLine="419"/>
        <w:rPr>
          <w:sz w:val="21"/>
          <w:szCs w:val="21"/>
        </w:rPr>
      </w:pPr>
      <w:r>
        <w:rPr>
          <w:rFonts w:hint="eastAsia"/>
          <w:sz w:val="21"/>
          <w:szCs w:val="21"/>
        </w:rPr>
        <w:t>裸根苗秋冬或早春定植。秋冬植：一般在秋梢老熟后至11月上旬定植；早春植：2月中、下旬春梢萌芽前定植。营养杯苗</w:t>
      </w:r>
      <w:r>
        <w:rPr>
          <w:rFonts w:hint="eastAsia"/>
          <w:color w:val="auto"/>
          <w:sz w:val="21"/>
          <w:szCs w:val="21"/>
          <w:lang w:eastAsia="zh-CN"/>
        </w:rPr>
        <w:t>除七八月份外</w:t>
      </w:r>
      <w:r>
        <w:rPr>
          <w:rFonts w:hint="eastAsia"/>
          <w:sz w:val="21"/>
          <w:szCs w:val="21"/>
        </w:rPr>
        <w:t>均可栽植。栽植密度株行距（3m～4m）×（3.5m～4.5m），栽植密度每h㎡ 栽植≤650株。</w:t>
      </w:r>
    </w:p>
    <w:p w14:paraId="77C02501">
      <w:pPr>
        <w:pStyle w:val="10"/>
        <w:spacing w:before="59" w:line="220" w:lineRule="auto"/>
        <w:outlineLvl w:val="0"/>
        <w:rPr>
          <w:rFonts w:ascii="黑体" w:hAnsi="黑体" w:eastAsia="黑体" w:cs="黑体"/>
          <w:sz w:val="21"/>
          <w:szCs w:val="21"/>
          <w:lang w:eastAsia="zh-CN"/>
        </w:rPr>
      </w:pPr>
      <w:r>
        <w:rPr>
          <w:rFonts w:hint="eastAsia" w:ascii="黑体" w:hAnsi="黑体" w:eastAsia="黑体" w:cs="黑体"/>
          <w:sz w:val="21"/>
          <w:szCs w:val="21"/>
          <w:lang w:eastAsia="zh-CN"/>
        </w:rPr>
        <w:t>B.3,2  整形修剪</w:t>
      </w:r>
    </w:p>
    <w:p w14:paraId="2D638435">
      <w:pPr>
        <w:pStyle w:val="10"/>
        <w:spacing w:before="59" w:line="220" w:lineRule="auto"/>
        <w:outlineLvl w:val="0"/>
        <w:rPr>
          <w:rFonts w:ascii="黑体" w:hAnsi="黑体" w:eastAsia="黑体" w:cs="黑体"/>
          <w:sz w:val="21"/>
          <w:szCs w:val="21"/>
          <w:lang w:eastAsia="zh-CN"/>
        </w:rPr>
      </w:pPr>
      <w:r>
        <w:rPr>
          <w:rFonts w:hint="eastAsia" w:ascii="黑体" w:hAnsi="黑体" w:eastAsia="黑体" w:cs="黑体"/>
          <w:sz w:val="21"/>
          <w:szCs w:val="21"/>
          <w:lang w:eastAsia="zh-CN"/>
        </w:rPr>
        <w:t>B.3.2.1  幼龄树的整形</w:t>
      </w:r>
    </w:p>
    <w:p w14:paraId="3C43AB4B">
      <w:pPr>
        <w:pStyle w:val="10"/>
        <w:spacing w:before="216" w:line="268" w:lineRule="auto"/>
        <w:ind w:left="1" w:right="74" w:firstLine="420"/>
        <w:rPr>
          <w:sz w:val="21"/>
          <w:szCs w:val="21"/>
        </w:rPr>
      </w:pPr>
      <w:r>
        <w:rPr>
          <w:rFonts w:hint="eastAsia"/>
          <w:sz w:val="21"/>
          <w:szCs w:val="21"/>
        </w:rPr>
        <w:t>采用自然开心形，以培养树冠为主。苗木定植时留50㎝剪断，待发梢后，在主干离地30㎝～35㎝以上选留生长强壮、分布均匀的新梢3～5枝作主枝。第2年萌发前将所留主枝短截，待新梢长出后留一强梢作主枝延长枝，其余作侧枝。第3年继续培养主枝与</w:t>
      </w:r>
      <w:r>
        <w:rPr>
          <w:rFonts w:hint="eastAsia"/>
          <w:sz w:val="21"/>
          <w:szCs w:val="21"/>
          <w:highlight w:val="none"/>
        </w:rPr>
        <w:t>副主枝</w:t>
      </w:r>
      <w:r>
        <w:rPr>
          <w:rFonts w:hint="eastAsia"/>
          <w:sz w:val="21"/>
          <w:szCs w:val="21"/>
        </w:rPr>
        <w:t>配置侧枝，加速树冠的形成，树冠高度控制在2m～2.5m之间。</w:t>
      </w:r>
    </w:p>
    <w:p w14:paraId="7F47308A">
      <w:pPr>
        <w:pStyle w:val="10"/>
        <w:spacing w:before="216" w:line="268" w:lineRule="auto"/>
        <w:ind w:right="74"/>
        <w:rPr>
          <w:rFonts w:ascii="黑体" w:hAnsi="黑体" w:eastAsia="黑体" w:cs="黑体"/>
          <w:sz w:val="21"/>
          <w:szCs w:val="21"/>
          <w:lang w:eastAsia="zh-CN"/>
        </w:rPr>
      </w:pPr>
      <w:r>
        <w:rPr>
          <w:rFonts w:hint="eastAsia" w:ascii="黑体" w:hAnsi="黑体" w:eastAsia="黑体" w:cs="黑体"/>
          <w:sz w:val="21"/>
          <w:szCs w:val="21"/>
          <w:lang w:eastAsia="zh-CN"/>
        </w:rPr>
        <w:t>B.3.2.2  成年数的修剪</w:t>
      </w:r>
    </w:p>
    <w:p w14:paraId="2C52BDCD">
      <w:pPr>
        <w:pStyle w:val="10"/>
        <w:spacing w:before="216" w:line="270" w:lineRule="auto"/>
        <w:ind w:firstLine="420" w:firstLineChars="200"/>
        <w:rPr>
          <w:sz w:val="21"/>
          <w:szCs w:val="21"/>
        </w:rPr>
      </w:pPr>
      <w:r>
        <w:rPr>
          <w:rFonts w:hint="eastAsia"/>
          <w:sz w:val="21"/>
          <w:szCs w:val="21"/>
        </w:rPr>
        <w:t>主要是采果后至春梢萌发前进行。使各枝梢不交叉重叠。对树冠郁蔽的适当剪去顶部枝并控制中间  直立旺长枝。做到通风透光，增大结果面积。修剪时，剪除干枯枝、病虫枝。对衰弱结果枝从基部剪除， 对生长健壮的只剪去果梗。对在同一结果母枝上，有健壮的营养枝可作翌年的结果母枝，可剪除结果枝。 对衰弱母枝，可从基部剪除或在抽生营养除枝出短截，促发向上生长。对交叉枝、重叠枝，应掌握留空  去密，留强去弱的原则。对徒长枝适当短截，作为补充树空隙外，其余应及时从基部剪除。对树冠中、 下部枝组应适当短截，更新枝组。</w:t>
      </w:r>
    </w:p>
    <w:p w14:paraId="435F91B6">
      <w:pPr>
        <w:pStyle w:val="10"/>
        <w:spacing w:before="216" w:line="270" w:lineRule="auto"/>
        <w:rPr>
          <w:rFonts w:ascii="黑体" w:hAnsi="黑体" w:eastAsia="黑体" w:cs="黑体"/>
          <w:sz w:val="21"/>
          <w:szCs w:val="21"/>
          <w:lang w:eastAsia="zh-CN"/>
        </w:rPr>
      </w:pPr>
      <w:r>
        <w:rPr>
          <w:rFonts w:hint="eastAsia" w:ascii="黑体" w:hAnsi="黑体" w:eastAsia="黑体" w:cs="黑体"/>
          <w:sz w:val="21"/>
          <w:szCs w:val="21"/>
          <w:lang w:eastAsia="zh-CN"/>
        </w:rPr>
        <w:t>B.4  土肥水管理</w:t>
      </w:r>
    </w:p>
    <w:p w14:paraId="534C68F4">
      <w:pPr>
        <w:pStyle w:val="10"/>
        <w:spacing w:before="216" w:line="270" w:lineRule="auto"/>
        <w:rPr>
          <w:rFonts w:ascii="黑体" w:hAnsi="黑体" w:eastAsia="黑体" w:cs="黑体"/>
          <w:sz w:val="21"/>
          <w:szCs w:val="21"/>
          <w:lang w:eastAsia="zh-CN"/>
        </w:rPr>
      </w:pPr>
      <w:r>
        <w:rPr>
          <w:rFonts w:hint="eastAsia" w:ascii="黑体" w:hAnsi="黑体" w:eastAsia="黑体" w:cs="黑体"/>
          <w:sz w:val="21"/>
          <w:szCs w:val="21"/>
          <w:lang w:eastAsia="zh-CN"/>
        </w:rPr>
        <w:t>B.4.1  土壤管理</w:t>
      </w:r>
    </w:p>
    <w:p w14:paraId="5286F02C">
      <w:pPr>
        <w:pStyle w:val="10"/>
        <w:spacing w:before="216" w:line="270" w:lineRule="auto"/>
        <w:rPr>
          <w:rFonts w:ascii="黑体" w:hAnsi="黑体" w:eastAsia="黑体" w:cs="黑体"/>
          <w:sz w:val="21"/>
          <w:szCs w:val="21"/>
          <w:lang w:eastAsia="zh-CN"/>
        </w:rPr>
      </w:pPr>
      <w:r>
        <w:rPr>
          <w:rFonts w:hint="eastAsia" w:ascii="黑体" w:hAnsi="黑体" w:eastAsia="黑体" w:cs="黑体"/>
          <w:sz w:val="21"/>
          <w:szCs w:val="21"/>
          <w:lang w:eastAsia="zh-CN"/>
        </w:rPr>
        <w:t>B.4.1.1  幼树</w:t>
      </w:r>
      <w:r>
        <w:rPr>
          <w:rFonts w:hint="eastAsia" w:ascii="黑体" w:hAnsi="黑体" w:eastAsia="黑体" w:cs="黑体"/>
          <w:color w:val="auto"/>
          <w:sz w:val="21"/>
          <w:szCs w:val="21"/>
          <w:lang w:eastAsia="zh-CN"/>
        </w:rPr>
        <w:t>土壤管</w:t>
      </w:r>
      <w:r>
        <w:rPr>
          <w:rFonts w:hint="eastAsia" w:ascii="黑体" w:hAnsi="黑体" w:eastAsia="黑体" w:cs="黑体"/>
          <w:sz w:val="21"/>
          <w:szCs w:val="21"/>
          <w:lang w:eastAsia="zh-CN"/>
        </w:rPr>
        <w:t>理</w:t>
      </w:r>
    </w:p>
    <w:p w14:paraId="47836776">
      <w:pPr>
        <w:pStyle w:val="10"/>
        <w:spacing w:before="216" w:line="270" w:lineRule="auto"/>
        <w:ind w:firstLine="420" w:firstLineChars="200"/>
        <w:rPr>
          <w:sz w:val="21"/>
          <w:szCs w:val="21"/>
        </w:rPr>
      </w:pPr>
      <w:r>
        <w:rPr>
          <w:rFonts w:hint="eastAsia"/>
          <w:sz w:val="21"/>
          <w:szCs w:val="21"/>
        </w:rPr>
        <w:t>定植后2年～3年内对定植穴（或沟）外分年或一次性全园扩穴改土，增施有机肥，熟化园土。</w:t>
      </w:r>
    </w:p>
    <w:p w14:paraId="238F3FB8">
      <w:pPr>
        <w:pStyle w:val="10"/>
        <w:spacing w:before="216" w:line="270" w:lineRule="auto"/>
        <w:rPr>
          <w:rFonts w:ascii="黑体" w:hAnsi="黑体" w:eastAsia="黑体" w:cs="黑体"/>
          <w:sz w:val="21"/>
          <w:szCs w:val="21"/>
          <w:lang w:eastAsia="zh-CN"/>
        </w:rPr>
      </w:pPr>
      <w:r>
        <w:rPr>
          <w:rFonts w:hint="eastAsia" w:ascii="黑体" w:hAnsi="黑体" w:eastAsia="黑体" w:cs="黑体"/>
          <w:sz w:val="21"/>
          <w:szCs w:val="21"/>
          <w:lang w:eastAsia="zh-CN"/>
        </w:rPr>
        <w:t>B.4.1.2  间作</w:t>
      </w:r>
    </w:p>
    <w:p w14:paraId="2B9FC2C8">
      <w:pPr>
        <w:pStyle w:val="10"/>
        <w:spacing w:before="216" w:line="220" w:lineRule="auto"/>
        <w:ind w:left="424"/>
        <w:rPr>
          <w:sz w:val="21"/>
          <w:szCs w:val="21"/>
        </w:rPr>
      </w:pPr>
      <w:r>
        <w:rPr>
          <w:rFonts w:hint="eastAsia"/>
          <w:sz w:val="21"/>
          <w:szCs w:val="21"/>
        </w:rPr>
        <w:t>幼龄园利用行间空地间作经济作物或绿肥，以园养园，改良土壤。</w:t>
      </w:r>
    </w:p>
    <w:p w14:paraId="766ED24F">
      <w:pPr>
        <w:pStyle w:val="10"/>
        <w:spacing w:before="216" w:line="220" w:lineRule="auto"/>
        <w:rPr>
          <w:rFonts w:ascii="黑体" w:hAnsi="黑体" w:eastAsia="黑体" w:cs="黑体"/>
          <w:sz w:val="21"/>
          <w:szCs w:val="21"/>
          <w:lang w:eastAsia="zh-CN"/>
        </w:rPr>
      </w:pPr>
      <w:r>
        <w:rPr>
          <w:rFonts w:hint="eastAsia" w:ascii="黑体" w:hAnsi="黑体" w:eastAsia="黑体" w:cs="黑体"/>
          <w:sz w:val="21"/>
          <w:szCs w:val="21"/>
          <w:lang w:eastAsia="zh-CN"/>
        </w:rPr>
        <w:t>B.4.1.3  覆盖</w:t>
      </w:r>
    </w:p>
    <w:p w14:paraId="553C0BB4">
      <w:pPr>
        <w:pStyle w:val="10"/>
        <w:spacing w:before="216" w:line="220" w:lineRule="auto"/>
        <w:ind w:left="422"/>
        <w:rPr>
          <w:sz w:val="21"/>
          <w:szCs w:val="21"/>
        </w:rPr>
      </w:pPr>
      <w:r>
        <w:rPr>
          <w:rFonts w:hint="eastAsia"/>
          <w:sz w:val="21"/>
          <w:szCs w:val="21"/>
        </w:rPr>
        <w:t>夏秋季利用绿肥、稻草、作物秸杆进行全园或树盘覆盖。</w:t>
      </w:r>
    </w:p>
    <w:p w14:paraId="78A81AD3">
      <w:pPr>
        <w:pStyle w:val="10"/>
        <w:spacing w:before="216" w:line="220" w:lineRule="auto"/>
        <w:rPr>
          <w:rFonts w:ascii="黑体" w:hAnsi="黑体" w:eastAsia="黑体" w:cs="黑体"/>
          <w:sz w:val="21"/>
          <w:szCs w:val="21"/>
          <w:lang w:eastAsia="zh-CN"/>
        </w:rPr>
      </w:pPr>
      <w:r>
        <w:rPr>
          <w:rFonts w:hint="eastAsia" w:ascii="黑体" w:hAnsi="黑体" w:eastAsia="黑体" w:cs="黑体"/>
          <w:sz w:val="21"/>
          <w:szCs w:val="21"/>
          <w:lang w:eastAsia="zh-CN"/>
        </w:rPr>
        <w:t>B.4.2  施肥</w:t>
      </w:r>
    </w:p>
    <w:p w14:paraId="03CE53DA">
      <w:pPr>
        <w:pStyle w:val="10"/>
        <w:spacing w:before="216" w:line="220" w:lineRule="auto"/>
        <w:rPr>
          <w:rFonts w:ascii="黑体" w:hAnsi="黑体" w:eastAsia="黑体" w:cs="黑体"/>
          <w:sz w:val="21"/>
          <w:szCs w:val="21"/>
          <w:lang w:eastAsia="zh-CN"/>
        </w:rPr>
      </w:pPr>
      <w:r>
        <w:rPr>
          <w:rFonts w:hint="eastAsia" w:ascii="黑体" w:hAnsi="黑体" w:eastAsia="黑体" w:cs="黑体"/>
          <w:sz w:val="21"/>
          <w:szCs w:val="21"/>
          <w:lang w:eastAsia="zh-CN"/>
        </w:rPr>
        <w:t>B.4.2.1  施肥原则</w:t>
      </w:r>
    </w:p>
    <w:p w14:paraId="3A293B56">
      <w:pPr>
        <w:pStyle w:val="10"/>
        <w:spacing w:before="217" w:line="258" w:lineRule="auto"/>
        <w:ind w:right="4" w:firstLine="420" w:firstLineChars="200"/>
        <w:rPr>
          <w:sz w:val="21"/>
          <w:szCs w:val="21"/>
        </w:rPr>
      </w:pPr>
      <w:r>
        <w:rPr>
          <w:rFonts w:hint="eastAsia"/>
          <w:sz w:val="21"/>
          <w:szCs w:val="21"/>
        </w:rPr>
        <w:t>幼龄树掌握薄肥勤施、少量多次的原则。新植幼树成活后，浇施稀腐熟人畜粪尿1～2次。全年施薄肥6～7次，分别在惊蛰前后，立夏至小满，大暑至立秋和霜降前各施一次。全年每667㎡施肥量纯氮6.1kg、磷1.5kg、钾6kg、人畜粪尿100kg。幼树在九月以后停止施氮肥，增施磷肥、钾肥或草木灰、火烧土等，提高抗寒力。结果树施肥原则以有机肥为主，化肥为辅，同时，配合锌、硼、镁等微肥的施用，每年每h㎡施腐熟有机肥≥22.5t。</w:t>
      </w:r>
    </w:p>
    <w:p w14:paraId="1F124AEB">
      <w:pPr>
        <w:pStyle w:val="10"/>
        <w:spacing w:before="216" w:line="220" w:lineRule="auto"/>
        <w:rPr>
          <w:rFonts w:ascii="黑体" w:hAnsi="黑体" w:eastAsia="黑体" w:cs="黑体"/>
          <w:sz w:val="21"/>
          <w:szCs w:val="21"/>
          <w:lang w:eastAsia="zh-CN"/>
        </w:rPr>
      </w:pPr>
      <w:r>
        <w:rPr>
          <w:rFonts w:hint="eastAsia" w:ascii="黑体" w:hAnsi="黑体" w:eastAsia="黑体" w:cs="黑体"/>
          <w:sz w:val="21"/>
          <w:szCs w:val="21"/>
          <w:lang w:eastAsia="zh-CN"/>
        </w:rPr>
        <w:t xml:space="preserve">B.4.2.2  </w:t>
      </w:r>
      <w:r>
        <w:rPr>
          <w:rFonts w:hint="eastAsia" w:ascii="黑体" w:hAnsi="黑体" w:eastAsia="黑体" w:cs="黑体"/>
          <w:color w:val="auto"/>
          <w:sz w:val="21"/>
          <w:szCs w:val="21"/>
          <w:lang w:eastAsia="zh-CN"/>
        </w:rPr>
        <w:t>施</w:t>
      </w:r>
      <w:r>
        <w:rPr>
          <w:rFonts w:hint="eastAsia" w:ascii="黑体" w:hAnsi="黑体" w:eastAsia="黑体" w:cs="黑体"/>
          <w:sz w:val="21"/>
          <w:szCs w:val="21"/>
          <w:lang w:eastAsia="zh-CN"/>
        </w:rPr>
        <w:t>促芽催花肥</w:t>
      </w:r>
    </w:p>
    <w:p w14:paraId="1DC6C4AC">
      <w:pPr>
        <w:pStyle w:val="10"/>
        <w:spacing w:before="258" w:line="260" w:lineRule="auto"/>
        <w:ind w:right="76" w:firstLine="419"/>
        <w:rPr>
          <w:sz w:val="21"/>
          <w:szCs w:val="21"/>
        </w:rPr>
      </w:pPr>
      <w:r>
        <w:rPr>
          <w:rFonts w:hint="eastAsia"/>
          <w:sz w:val="21"/>
          <w:szCs w:val="21"/>
        </w:rPr>
        <w:t>在2月下旬至3月上旬追施。以速效氮肥为主，每667㎡施尿素8kg、硫酸钾10kg、过磷酸钙8kg，施肥量占全年的20%。</w:t>
      </w:r>
    </w:p>
    <w:p w14:paraId="556C02B2">
      <w:pPr>
        <w:pStyle w:val="10"/>
        <w:spacing w:before="216" w:line="220" w:lineRule="auto"/>
        <w:rPr>
          <w:rFonts w:ascii="黑体" w:hAnsi="黑体" w:eastAsia="黑体" w:cs="黑体"/>
          <w:sz w:val="21"/>
          <w:szCs w:val="21"/>
          <w:lang w:eastAsia="zh-CN"/>
        </w:rPr>
      </w:pPr>
      <w:r>
        <w:rPr>
          <w:rFonts w:hint="eastAsia" w:ascii="黑体" w:hAnsi="黑体" w:eastAsia="黑体" w:cs="黑体"/>
          <w:sz w:val="21"/>
          <w:szCs w:val="21"/>
          <w:lang w:eastAsia="zh-CN"/>
        </w:rPr>
        <w:t>B.4.2.3  施稳果肥</w:t>
      </w:r>
    </w:p>
    <w:p w14:paraId="4C5B0DEA">
      <w:pPr>
        <w:pStyle w:val="10"/>
        <w:spacing w:before="217" w:line="258" w:lineRule="auto"/>
        <w:ind w:right="74" w:firstLine="420" w:firstLineChars="200"/>
        <w:rPr>
          <w:sz w:val="21"/>
          <w:szCs w:val="21"/>
        </w:rPr>
      </w:pPr>
      <w:r>
        <w:rPr>
          <w:rFonts w:hint="eastAsia"/>
          <w:sz w:val="21"/>
          <w:szCs w:val="21"/>
        </w:rPr>
        <w:t>依树势左倾追施，旺树多施，反之少施。结果多的多施，结果少的不宜施肥。以速效肥为主，在5月上旬每667㎡施尿素4kg、硫酸钾5kg、过磷酸钙4kg，施肥量占全年的10%。</w:t>
      </w:r>
    </w:p>
    <w:p w14:paraId="4A6C9048">
      <w:pPr>
        <w:pStyle w:val="10"/>
        <w:spacing w:before="216" w:line="220" w:lineRule="auto"/>
        <w:rPr>
          <w:rFonts w:ascii="黑体" w:hAnsi="黑体" w:eastAsia="黑体" w:cs="黑体"/>
          <w:sz w:val="21"/>
          <w:szCs w:val="21"/>
          <w:lang w:eastAsia="zh-CN"/>
        </w:rPr>
      </w:pPr>
      <w:r>
        <w:rPr>
          <w:rFonts w:hint="eastAsia" w:ascii="黑体" w:hAnsi="黑体" w:eastAsia="黑体" w:cs="黑体"/>
          <w:sz w:val="21"/>
          <w:szCs w:val="21"/>
          <w:lang w:eastAsia="zh-CN"/>
        </w:rPr>
        <w:t>B.4.2.4  施促梢壮果肥</w:t>
      </w:r>
    </w:p>
    <w:p w14:paraId="2E78A0EE">
      <w:pPr>
        <w:pStyle w:val="10"/>
        <w:spacing w:before="218" w:line="258" w:lineRule="auto"/>
        <w:ind w:right="76"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7月以后果实迅速膨大和抽生秋梢时期，气温高，肥料分解快，根吸收能力强。掌握在7月上旬每667 ㎡施尿素14kg、硫酸钾17.5kg、过磷酸钙14kg。施肥量占全年的35%。</w:t>
      </w:r>
    </w:p>
    <w:p w14:paraId="6E5C589B">
      <w:pPr>
        <w:pStyle w:val="10"/>
        <w:spacing w:before="218" w:line="258" w:lineRule="auto"/>
        <w:ind w:right="76"/>
        <w:rPr>
          <w:rFonts w:ascii="黑体" w:hAnsi="黑体" w:eastAsia="黑体" w:cs="黑体"/>
          <w:sz w:val="21"/>
          <w:szCs w:val="21"/>
          <w:lang w:eastAsia="zh-CN"/>
        </w:rPr>
      </w:pPr>
      <w:r>
        <w:rPr>
          <w:rFonts w:hint="eastAsia" w:ascii="黑体" w:hAnsi="黑体" w:eastAsia="黑体" w:cs="黑体"/>
          <w:sz w:val="21"/>
          <w:szCs w:val="21"/>
          <w:lang w:eastAsia="zh-CN"/>
        </w:rPr>
        <w:t>B.4.2.5  采果后深施基肥</w:t>
      </w:r>
    </w:p>
    <w:p w14:paraId="5DD64233">
      <w:pPr>
        <w:pStyle w:val="10"/>
        <w:spacing w:before="218" w:line="215" w:lineRule="auto"/>
        <w:ind w:left="419"/>
        <w:rPr>
          <w:sz w:val="21"/>
          <w:szCs w:val="21"/>
        </w:rPr>
      </w:pPr>
      <w:r>
        <w:rPr>
          <w:rFonts w:hint="eastAsia"/>
          <w:sz w:val="21"/>
          <w:szCs w:val="21"/>
        </w:rPr>
        <w:t>采果后及时供给充足的养分。每667㎡施厩肥4000kg、菜饼400kg、石灰100kg、钙镁磷40kg、尿</w:t>
      </w:r>
    </w:p>
    <w:p w14:paraId="21DF84E1">
      <w:pPr>
        <w:pStyle w:val="10"/>
        <w:spacing w:before="218" w:line="215" w:lineRule="auto"/>
        <w:rPr>
          <w:sz w:val="21"/>
          <w:szCs w:val="21"/>
        </w:rPr>
      </w:pPr>
      <w:r>
        <w:rPr>
          <w:rFonts w:hint="eastAsia"/>
          <w:sz w:val="21"/>
          <w:szCs w:val="21"/>
        </w:rPr>
        <w:t>素14kg、硫酸钾17.5kg和过磷酸钙14kg。</w:t>
      </w:r>
    </w:p>
    <w:p w14:paraId="094EBC54">
      <w:pPr>
        <w:pStyle w:val="10"/>
        <w:spacing w:before="218" w:line="258" w:lineRule="auto"/>
        <w:ind w:right="76"/>
        <w:rPr>
          <w:rFonts w:ascii="黑体" w:hAnsi="黑体" w:eastAsia="黑体" w:cs="黑体"/>
          <w:sz w:val="21"/>
          <w:szCs w:val="21"/>
          <w:lang w:eastAsia="zh-CN"/>
        </w:rPr>
      </w:pPr>
      <w:r>
        <w:rPr>
          <w:rFonts w:hint="eastAsia" w:ascii="黑体" w:hAnsi="黑体" w:eastAsia="黑体" w:cs="黑体"/>
          <w:sz w:val="21"/>
          <w:szCs w:val="21"/>
          <w:lang w:eastAsia="zh-CN"/>
        </w:rPr>
        <w:t>B.4.2.6  根外追肥</w:t>
      </w:r>
    </w:p>
    <w:p w14:paraId="7ECF0E83">
      <w:pPr>
        <w:pStyle w:val="10"/>
        <w:spacing w:before="219" w:line="260" w:lineRule="auto"/>
        <w:ind w:firstLine="422"/>
        <w:rPr>
          <w:sz w:val="21"/>
          <w:szCs w:val="21"/>
        </w:rPr>
      </w:pPr>
      <w:r>
        <w:rPr>
          <w:rFonts w:hint="eastAsia"/>
          <w:sz w:val="21"/>
          <w:szCs w:val="21"/>
        </w:rPr>
        <w:t>一般用尿素、过磷酸钙、磷酸二氢钾、草木灰、含微量元素镁、锌、硼等的化合物进行叶面喷施。 使用浓度夏秋为0.2%～0.3%，冬季为0.4%～0.5%，与防治病虫害或保花保果结合喷肥。</w:t>
      </w:r>
    </w:p>
    <w:p w14:paraId="206E6B93">
      <w:pPr>
        <w:pStyle w:val="10"/>
        <w:spacing w:before="219" w:line="260" w:lineRule="auto"/>
        <w:rPr>
          <w:rFonts w:ascii="黑体" w:hAnsi="黑体" w:eastAsia="黑体" w:cs="黑体"/>
          <w:sz w:val="21"/>
          <w:szCs w:val="21"/>
          <w:lang w:eastAsia="zh-CN"/>
        </w:rPr>
      </w:pPr>
      <w:r>
        <w:rPr>
          <w:rFonts w:hint="eastAsia" w:ascii="黑体" w:hAnsi="黑体" w:eastAsia="黑体" w:cs="黑体"/>
          <w:sz w:val="21"/>
          <w:szCs w:val="21"/>
          <w:lang w:eastAsia="zh-CN"/>
        </w:rPr>
        <w:t>B.4.3  管水</w:t>
      </w:r>
    </w:p>
    <w:p w14:paraId="0271EAE2">
      <w:pPr>
        <w:pStyle w:val="10"/>
        <w:spacing w:before="218" w:line="220" w:lineRule="auto"/>
        <w:ind w:left="419"/>
        <w:rPr>
          <w:sz w:val="21"/>
          <w:szCs w:val="21"/>
        </w:rPr>
      </w:pPr>
      <w:r>
        <w:rPr>
          <w:rFonts w:hint="eastAsia"/>
          <w:sz w:val="21"/>
          <w:szCs w:val="21"/>
        </w:rPr>
        <w:t>在春季雨水来临前修通山边沟、园中排灌沟。旱期进行早晚灌水，冬旱及时灌水护叶。</w:t>
      </w:r>
    </w:p>
    <w:p w14:paraId="7F5F4594">
      <w:pPr>
        <w:pStyle w:val="10"/>
        <w:spacing w:before="218" w:line="220" w:lineRule="auto"/>
        <w:rPr>
          <w:rFonts w:ascii="黑体" w:hAnsi="黑体" w:eastAsia="黑体" w:cs="黑体"/>
          <w:sz w:val="21"/>
          <w:szCs w:val="21"/>
          <w:lang w:eastAsia="zh-CN"/>
        </w:rPr>
      </w:pPr>
      <w:r>
        <w:rPr>
          <w:rFonts w:hint="eastAsia" w:ascii="黑体" w:hAnsi="黑体" w:eastAsia="黑体" w:cs="黑体"/>
          <w:sz w:val="21"/>
          <w:szCs w:val="21"/>
          <w:lang w:eastAsia="zh-CN"/>
        </w:rPr>
        <w:t>B.5  病虫害防治</w:t>
      </w:r>
    </w:p>
    <w:p w14:paraId="358C7AC0">
      <w:pPr>
        <w:pStyle w:val="10"/>
        <w:spacing w:before="69" w:line="220" w:lineRule="auto"/>
        <w:ind w:firstLine="420" w:firstLineChars="200"/>
        <w:rPr>
          <w:sz w:val="21"/>
          <w:szCs w:val="21"/>
        </w:rPr>
      </w:pPr>
      <w:r>
        <w:rPr>
          <w:rFonts w:hint="eastAsia"/>
          <w:sz w:val="21"/>
          <w:szCs w:val="21"/>
        </w:rPr>
        <w:t>病虫害防治采取预防为主，综合防治的原则，合理采用农业、生物、物理和化学等综合防治手段，</w:t>
      </w:r>
    </w:p>
    <w:p w14:paraId="2AB2B5D6">
      <w:pPr>
        <w:pStyle w:val="10"/>
        <w:spacing w:before="64" w:line="260" w:lineRule="auto"/>
        <w:ind w:left="1" w:right="78" w:hanging="1"/>
        <w:rPr>
          <w:sz w:val="21"/>
          <w:szCs w:val="21"/>
        </w:rPr>
      </w:pPr>
      <w:r>
        <w:rPr>
          <w:rFonts w:hint="eastAsia"/>
          <w:sz w:val="21"/>
          <w:szCs w:val="21"/>
        </w:rPr>
        <w:t>着重防治黄龙病、炭疽病、红蜘蛛、锈壁虱、潜叶蛾、蚧壳虫、蚜虫等病虫害。应适时喷药，科学合理用药。采摘前30d，禁止使用化学农药。</w:t>
      </w:r>
    </w:p>
    <w:p w14:paraId="44E8324D">
      <w:pPr>
        <w:pStyle w:val="10"/>
        <w:spacing w:before="218" w:line="220" w:lineRule="auto"/>
        <w:rPr>
          <w:rFonts w:ascii="黑体" w:hAnsi="黑体" w:eastAsia="黑体" w:cs="黑体"/>
          <w:sz w:val="21"/>
          <w:szCs w:val="21"/>
          <w:lang w:eastAsia="zh-CN"/>
        </w:rPr>
      </w:pPr>
      <w:r>
        <w:rPr>
          <w:rFonts w:hint="eastAsia" w:ascii="黑体" w:hAnsi="黑体" w:eastAsia="黑体" w:cs="黑体"/>
          <w:sz w:val="21"/>
          <w:szCs w:val="21"/>
          <w:lang w:eastAsia="zh-CN"/>
        </w:rPr>
        <w:t>B.6  防冻害</w:t>
      </w:r>
    </w:p>
    <w:p w14:paraId="4A020B37">
      <w:pPr>
        <w:pStyle w:val="10"/>
        <w:spacing w:before="218" w:line="220" w:lineRule="auto"/>
        <w:ind w:firstLine="420" w:firstLineChars="200"/>
        <w:rPr>
          <w:sz w:val="21"/>
          <w:szCs w:val="21"/>
          <w:lang w:eastAsia="zh-CN"/>
        </w:rPr>
      </w:pPr>
      <w:r>
        <w:rPr>
          <w:rFonts w:hint="eastAsia"/>
          <w:sz w:val="21"/>
          <w:szCs w:val="21"/>
        </w:rPr>
        <w:t>新建桔柚园应营造防护林。冬前，应灌足水并做好主干刷白、树盘覆盖、培土等工作。</w:t>
      </w:r>
    </w:p>
    <w:p w14:paraId="6EE2FDDB">
      <w:pPr>
        <w:pStyle w:val="10"/>
        <w:spacing w:before="218" w:line="258" w:lineRule="auto"/>
        <w:ind w:right="76"/>
        <w:rPr>
          <w:rFonts w:ascii="黑体" w:hAnsi="黑体" w:eastAsia="黑体" w:cs="黑体"/>
          <w:sz w:val="21"/>
          <w:szCs w:val="21"/>
          <w:lang w:eastAsia="zh-CN"/>
        </w:rPr>
      </w:pPr>
      <w:r>
        <w:rPr>
          <w:rFonts w:hint="eastAsia" w:ascii="黑体" w:hAnsi="黑体" w:eastAsia="黑体" w:cs="黑体"/>
          <w:sz w:val="21"/>
          <w:szCs w:val="21"/>
          <w:lang w:eastAsia="zh-CN"/>
        </w:rPr>
        <w:t>B.7  采收时间与采后处理</w:t>
      </w:r>
    </w:p>
    <w:p w14:paraId="430CA832">
      <w:pPr>
        <w:pStyle w:val="10"/>
        <w:spacing w:before="218" w:line="258" w:lineRule="auto"/>
        <w:ind w:right="76"/>
        <w:rPr>
          <w:rFonts w:ascii="黑体" w:hAnsi="黑体" w:eastAsia="黑体" w:cs="黑体"/>
          <w:sz w:val="21"/>
          <w:szCs w:val="21"/>
          <w:lang w:eastAsia="zh-CN"/>
        </w:rPr>
      </w:pPr>
      <w:r>
        <w:rPr>
          <w:rFonts w:hint="eastAsia" w:ascii="黑体" w:hAnsi="黑体" w:eastAsia="黑体" w:cs="黑体"/>
          <w:sz w:val="21"/>
          <w:szCs w:val="21"/>
          <w:lang w:eastAsia="zh-CN"/>
        </w:rPr>
        <w:t>B.7.1  采摘时间</w:t>
      </w:r>
    </w:p>
    <w:p w14:paraId="5196926E">
      <w:pPr>
        <w:pStyle w:val="10"/>
        <w:spacing w:before="218" w:line="220" w:lineRule="auto"/>
        <w:ind w:left="422"/>
        <w:rPr>
          <w:sz w:val="21"/>
          <w:szCs w:val="21"/>
        </w:rPr>
      </w:pPr>
      <w:r>
        <w:rPr>
          <w:rFonts w:hint="eastAsia"/>
          <w:sz w:val="21"/>
          <w:szCs w:val="21"/>
        </w:rPr>
        <w:t>从12月上中旬开始，果皮转色八成</w:t>
      </w:r>
      <w:r>
        <w:rPr>
          <w:rFonts w:hint="eastAsia"/>
          <w:sz w:val="21"/>
          <w:szCs w:val="21"/>
          <w:lang w:eastAsia="zh-CN"/>
        </w:rPr>
        <w:t>、</w:t>
      </w:r>
      <w:r>
        <w:rPr>
          <w:rFonts w:hint="eastAsia"/>
          <w:sz w:val="21"/>
          <w:szCs w:val="21"/>
          <w:highlight w:val="none"/>
        </w:rPr>
        <w:t>可溶性固</w:t>
      </w:r>
      <w:r>
        <w:rPr>
          <w:rFonts w:hint="eastAsia"/>
          <w:sz w:val="21"/>
          <w:szCs w:val="21"/>
          <w:highlight w:val="none"/>
          <w:lang w:eastAsia="zh-CN"/>
        </w:rPr>
        <w:t>形</w:t>
      </w:r>
      <w:r>
        <w:rPr>
          <w:rFonts w:hint="eastAsia"/>
          <w:sz w:val="21"/>
          <w:szCs w:val="21"/>
          <w:highlight w:val="none"/>
        </w:rPr>
        <w:t>物</w:t>
      </w:r>
      <w:r>
        <w:rPr>
          <w:rFonts w:hint="eastAsia"/>
          <w:sz w:val="21"/>
          <w:szCs w:val="21"/>
        </w:rPr>
        <w:t>达12%时开始采摘。</w:t>
      </w:r>
    </w:p>
    <w:p w14:paraId="6AB67DF7">
      <w:pPr>
        <w:pStyle w:val="10"/>
        <w:spacing w:before="218" w:line="220" w:lineRule="auto"/>
        <w:rPr>
          <w:rFonts w:ascii="黑体" w:hAnsi="黑体" w:eastAsia="黑体" w:cs="黑体"/>
          <w:sz w:val="21"/>
          <w:szCs w:val="21"/>
          <w:lang w:eastAsia="zh-CN"/>
        </w:rPr>
      </w:pPr>
      <w:r>
        <w:rPr>
          <w:rFonts w:hint="eastAsia" w:ascii="黑体" w:hAnsi="黑体" w:eastAsia="黑体" w:cs="黑体"/>
          <w:sz w:val="21"/>
          <w:szCs w:val="21"/>
          <w:lang w:eastAsia="zh-CN"/>
        </w:rPr>
        <w:t>B.7.2  采后处理</w:t>
      </w:r>
    </w:p>
    <w:p w14:paraId="4B859910">
      <w:pPr>
        <w:pStyle w:val="10"/>
        <w:spacing w:before="219" w:line="260" w:lineRule="auto"/>
        <w:ind w:right="74" w:firstLine="420" w:firstLineChars="200"/>
        <w:rPr>
          <w:rFonts w:hint="eastAsia"/>
          <w:sz w:val="21"/>
          <w:szCs w:val="21"/>
          <w:lang w:eastAsia="zh-CN"/>
        </w:rPr>
      </w:pPr>
      <w:r>
        <w:rPr>
          <w:rFonts w:hint="eastAsia"/>
          <w:sz w:val="21"/>
          <w:szCs w:val="21"/>
        </w:rPr>
        <w:t>长途运销或用于贮藏的果实，采收后及时进行防腐保鲜处理，药剂使用应符合国家有关规定。用于贮藏的果实经药剂处理后，放置通风处5d～7d，单果包装常温贮藏，贮藏时限不超过5个月。</w:t>
      </w:r>
    </w:p>
    <w:p w14:paraId="2CE18EDD">
      <w:pPr>
        <w:pStyle w:val="10"/>
        <w:spacing w:before="219" w:line="260" w:lineRule="auto"/>
        <w:ind w:right="74" w:firstLine="420" w:firstLineChars="200"/>
        <w:rPr>
          <w:sz w:val="21"/>
          <w:szCs w:val="21"/>
          <w:lang w:eastAsia="zh-CN"/>
        </w:rPr>
      </w:pPr>
    </w:p>
    <w:p w14:paraId="1751DB3F">
      <w:pPr>
        <w:pStyle w:val="10"/>
        <w:spacing w:before="69" w:line="37" w:lineRule="exact"/>
        <w:ind w:left="2989"/>
        <w:rPr>
          <w:rFonts w:hint="eastAsia"/>
          <w:sz w:val="21"/>
          <w:szCs w:val="21"/>
          <w:lang w:eastAsia="zh-CN"/>
        </w:rPr>
      </w:pPr>
      <w:r>
        <w:rPr>
          <w:b/>
          <w:bCs/>
          <w:spacing w:val="-2"/>
          <w:position w:val="2"/>
          <w:sz w:val="21"/>
          <w:szCs w:val="21"/>
        </w:rPr>
        <w:t>___________________</w:t>
      </w:r>
      <w:r>
        <w:rPr>
          <w:b/>
          <w:bCs/>
          <w:spacing w:val="-3"/>
          <w:position w:val="2"/>
          <w:sz w:val="21"/>
          <w:szCs w:val="21"/>
        </w:rPr>
        <w:t>_____</w:t>
      </w:r>
    </w:p>
    <w:sectPr>
      <w:footerReference r:id="rId10" w:type="default"/>
      <w:footerReference r:id="rId11" w:type="even"/>
      <w:pgSz w:w="11906" w:h="16838"/>
      <w:pgMar w:top="567" w:right="1134" w:bottom="1134" w:left="1417" w:header="1418" w:footer="1134" w:gutter="0"/>
      <w:pgNumType w:fmt="decimal" w:start="1"/>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2" w:usb3="00000000" w:csb0="4002009F" w:csb1="DFD7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5CEF4A">
    <w:pPr>
      <w:pStyle w:val="18"/>
    </w:pPr>
    <w: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21E7DA">
                          <w:pPr>
                            <w:pStyle w:val="18"/>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HhYsAgAAVwQAAA4AAABkcnMvZTJvRG9jLnhtbK1UzY7TMBC+I/EO&#10;lu80aRFL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0zseFiwCAABXBAAADgAAAAAAAAABACAAAAAfAQAAZHJzL2Uyb0RvYy54bWxQSwUGAAAAAAYA&#10;BgBZAQAAvQUAAAAA&#10;">
              <v:fill on="f" focussize="0,0"/>
              <v:stroke on="f" weight="0.5pt"/>
              <v:imagedata o:title=""/>
              <o:lock v:ext="edit" aspectratio="f"/>
              <v:textbox inset="0mm,0mm,0mm,0mm" style="mso-fit-shape-to-text:t;">
                <w:txbxContent>
                  <w:p w14:paraId="2321E7DA">
                    <w:pPr>
                      <w:pStyle w:val="18"/>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DCECED">
    <w:pPr>
      <w:pStyle w:val="61"/>
    </w:pPr>
    <w:r>
      <mc:AlternateContent>
        <mc:Choice Requires="wps">
          <w:drawing>
            <wp:anchor distT="0" distB="0" distL="114300" distR="114300" simplePos="0" relativeHeight="251672576" behindDoc="0" locked="0" layoutInCell="1" allowOverlap="1">
              <wp:simplePos x="0" y="0"/>
              <wp:positionH relativeFrom="margin">
                <wp:align>right</wp:align>
              </wp:positionH>
              <wp:positionV relativeFrom="paragraph">
                <wp:posOffset>0</wp:posOffset>
              </wp:positionV>
              <wp:extent cx="1828800" cy="1828800"/>
              <wp:effectExtent l="0" t="0" r="0" b="0"/>
              <wp:wrapNone/>
              <wp:docPr id="43" name="文本框 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62D2CA">
                          <w:pPr>
                            <w:pStyle w:val="18"/>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duMMtAgAAVwQAAA4AAABkcnMvZTJvRG9jLnhtbK1UzY7TMBC+I/EO&#10;lu80aRd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HuduMMtAgAAVwQAAA4AAAAAAAAAAQAgAAAAHwEAAGRycy9lMm9Eb2MueG1sUEsFBgAAAAAG&#10;AAYAWQEAAL4FAAAAAA==&#10;">
              <v:fill on="f" focussize="0,0"/>
              <v:stroke on="f" weight="0.5pt"/>
              <v:imagedata o:title=""/>
              <o:lock v:ext="edit" aspectratio="f"/>
              <v:textbox inset="0mm,0mm,0mm,0mm" style="mso-fit-shape-to-text:t;">
                <w:txbxContent>
                  <w:p w14:paraId="2862D2CA">
                    <w:pPr>
                      <w:pStyle w:val="18"/>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r>
      <mc:AlternateContent>
        <mc:Choice Requires="wps">
          <w:drawing>
            <wp:anchor distT="0" distB="0" distL="114300" distR="114300" simplePos="0" relativeHeight="251667456" behindDoc="0" locked="0" layoutInCell="1" allowOverlap="1">
              <wp:simplePos x="0" y="0"/>
              <wp:positionH relativeFrom="margin">
                <wp:align>right</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17D6F6">
                          <w:pPr>
                            <w:pStyle w:val="18"/>
                          </w:pPr>
                          <w:r>
                            <w:rPr>
                              <w:rFonts w:hint="eastAsia"/>
                            </w:rPr>
                            <w:t>I</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l4K5AtAgAAVw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Bl4K5AtAgAAVwQAAA4AAAAAAAAAAQAgAAAAHwEAAGRycy9lMm9Eb2MueG1sUEsFBgAAAAAG&#10;AAYAWQEAAL4FAAAAAA==&#10;">
              <v:fill on="f" focussize="0,0"/>
              <v:stroke on="f" weight="0.5pt"/>
              <v:imagedata o:title=""/>
              <o:lock v:ext="edit" aspectratio="f"/>
              <v:textbox inset="0mm,0mm,0mm,0mm" style="mso-fit-shape-to-text:t;">
                <w:txbxContent>
                  <w:p w14:paraId="1117D6F6">
                    <w:pPr>
                      <w:pStyle w:val="18"/>
                    </w:pPr>
                    <w:r>
                      <w:rPr>
                        <w:rFonts w:hint="eastAsia"/>
                      </w:rPr>
                      <w:t>I</w:t>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margin">
                <wp:align>left</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53340B">
                          <w:pPr>
                            <w:pStyle w:val="18"/>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H3jSMsAgAAVw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4feNIywCAABXBAAADgAAAAAAAAABACAAAAAfAQAAZHJzL2Uyb0RvYy54bWxQSwUGAAAAAAYA&#10;BgBZAQAAvQUAAAAA&#10;">
              <v:fill on="f" focussize="0,0"/>
              <v:stroke on="f" weight="0.5pt"/>
              <v:imagedata o:title=""/>
              <o:lock v:ext="edit" aspectratio="f"/>
              <v:textbox inset="0mm,0mm,0mm,0mm" style="mso-fit-shape-to-text:t;">
                <w:txbxContent>
                  <w:p w14:paraId="5C53340B">
                    <w:pPr>
                      <w:pStyle w:val="18"/>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70B85F">
    <w:pPr>
      <w:pStyle w:val="18"/>
    </w:pPr>
    <w:r>
      <mc:AlternateContent>
        <mc:Choice Requires="wps">
          <w:drawing>
            <wp:anchor distT="0" distB="0" distL="114300" distR="114300" simplePos="0" relativeHeight="251668480" behindDoc="0" locked="0" layoutInCell="1" allowOverlap="1">
              <wp:simplePos x="0" y="0"/>
              <wp:positionH relativeFrom="margin">
                <wp:align>right</wp:align>
              </wp:positionH>
              <wp:positionV relativeFrom="paragraph">
                <wp:posOffset>0</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3948A5">
                          <w:pPr>
                            <w:pStyle w:val="18"/>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UqPGc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pSo8ZywCAABXBAAADgAAAAAAAAABACAAAAAfAQAAZHJzL2Uyb0RvYy54bWxQSwUGAAAAAAYA&#10;BgBZAQAAvQUAAAAA&#10;">
              <v:fill on="f" focussize="0,0"/>
              <v:stroke on="f" weight="0.5pt"/>
              <v:imagedata o:title=""/>
              <o:lock v:ext="edit" aspectratio="f"/>
              <v:textbox inset="0mm,0mm,0mm,0mm" style="mso-fit-shape-to-text:t;">
                <w:txbxContent>
                  <w:p w14:paraId="283948A5">
                    <w:pPr>
                      <w:pStyle w:val="18"/>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AF3AB3">
    <w:pPr>
      <w:pStyle w:val="61"/>
      <w:wordWrap w:val="0"/>
    </w:pPr>
    <w:r>
      <w:rPr>
        <w:rFonts w:hint="eastAsia"/>
      </w:rPr>
      <w:t xml:space="preserve">II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B88F89">
    <w:pPr>
      <w:pStyle w:val="61"/>
      <w:jc w:val="both"/>
    </w:pPr>
    <w:r>
      <mc:AlternateContent>
        <mc:Choice Requires="wps">
          <w:drawing>
            <wp:anchor distT="0" distB="0" distL="114300" distR="114300" simplePos="0" relativeHeight="251675648" behindDoc="0" locked="0" layoutInCell="1" allowOverlap="1">
              <wp:simplePos x="0" y="0"/>
              <wp:positionH relativeFrom="margin">
                <wp:align>inside</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96666E">
                          <w:pPr>
                            <w:pStyle w:val="18"/>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pGcYw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RnGMKwIAAFcEAAAOAAAAAAAAAAEAIAAAAB8BAABkcnMvZTJvRG9jLnhtbFBLBQYAAAAABgAG&#10;AFkBAAC8BQAAAAA=&#10;">
              <v:fill on="f" focussize="0,0"/>
              <v:stroke on="f" weight="0.5pt"/>
              <v:imagedata o:title=""/>
              <o:lock v:ext="edit" aspectratio="f"/>
              <v:textbox inset="0mm,0mm,0mm,0mm" style="mso-fit-shape-to-text:t;">
                <w:txbxContent>
                  <w:p w14:paraId="4B96666E">
                    <w:pPr>
                      <w:pStyle w:val="18"/>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v:textbox>
            </v:shape>
          </w:pict>
        </mc:Fallback>
      </mc:AlternateContent>
    </w:r>
    <w:r>
      <mc:AlternateContent>
        <mc:Choice Requires="wps">
          <w:drawing>
            <wp:anchor distT="0" distB="0" distL="114300" distR="114300" simplePos="0" relativeHeight="251673600" behindDoc="0" locked="0" layoutInCell="1" allowOverlap="1">
              <wp:simplePos x="0" y="0"/>
              <wp:positionH relativeFrom="margin">
                <wp:align>right</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6E5598">
                          <w:pPr>
                            <w:pStyle w:val="18"/>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o2IpktAgAAV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QrdZFjb6wfII&#10;HcXzdrkPEDDpGkXplThrhX5LlTnPRmzoP/cp6vF/sPg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Mo2IpktAgAAVwQAAA4AAAAAAAAAAQAgAAAAHwEAAGRycy9lMm9Eb2MueG1sUEsFBgAAAAAG&#10;AAYAWQEAAL4FAAAAAA==&#10;">
              <v:fill on="f" focussize="0,0"/>
              <v:stroke on="f" weight="0.5pt"/>
              <v:imagedata o:title=""/>
              <o:lock v:ext="edit" aspectratio="f"/>
              <v:textbox inset="0mm,0mm,0mm,0mm" style="mso-fit-shape-to-text:t;">
                <w:txbxContent>
                  <w:p w14:paraId="616E5598">
                    <w:pPr>
                      <w:pStyle w:val="18"/>
                    </w:pPr>
                  </w:p>
                </w:txbxContent>
              </v:textbox>
            </v:shape>
          </w:pict>
        </mc:Fallback>
      </mc:AlternateContent>
    </w:r>
    <w:r>
      <mc:AlternateContent>
        <mc:Choice Requires="wps">
          <w:drawing>
            <wp:anchor distT="0" distB="0" distL="114300" distR="114300" simplePos="0" relativeHeight="251669504" behindDoc="0" locked="0" layoutInCell="1" allowOverlap="1">
              <wp:simplePos x="0" y="0"/>
              <wp:positionH relativeFrom="margin">
                <wp:align>left</wp:align>
              </wp:positionH>
              <wp:positionV relativeFrom="paragraph">
                <wp:posOffset>0</wp:posOffset>
              </wp:positionV>
              <wp:extent cx="1828800" cy="1828800"/>
              <wp:effectExtent l="0" t="0" r="0" b="0"/>
              <wp:wrapNone/>
              <wp:docPr id="35" name="文本框 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1DEAC2">
                          <w:pPr>
                            <w:pStyle w:val="18"/>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OxXU/0tAgAAVwQAAA4AAAAAAAAAAQAgAAAAHwEAAGRycy9lMm9Eb2MueG1sUEsFBgAAAAAG&#10;AAYAWQEAAL4FAAAAAA==&#10;">
              <v:fill on="f" focussize="0,0"/>
              <v:stroke on="f" weight="0.5pt"/>
              <v:imagedata o:title=""/>
              <o:lock v:ext="edit" aspectratio="f"/>
              <v:textbox inset="0mm,0mm,0mm,0mm" style="mso-fit-shape-to-text:t;">
                <w:txbxContent>
                  <w:p w14:paraId="151DEAC2">
                    <w:pPr>
                      <w:pStyle w:val="18"/>
                    </w:pP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margin">
                <wp:align>right</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962C03">
                          <w:pPr>
                            <w:pStyle w:val="18"/>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svHiUt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HsvHiUtAgAAVwQAAA4AAAAAAAAAAQAgAAAAHwEAAGRycy9lMm9Eb2MueG1sUEsFBgAAAAAG&#10;AAYAWQEAAL4FAAAAAA==&#10;">
              <v:fill on="f" focussize="0,0"/>
              <v:stroke on="f" weight="0.5pt"/>
              <v:imagedata o:title=""/>
              <o:lock v:ext="edit" aspectratio="f"/>
              <v:textbox inset="0mm,0mm,0mm,0mm" style="mso-fit-shape-to-text:t;">
                <w:txbxContent>
                  <w:p w14:paraId="6A962C03">
                    <w:pPr>
                      <w:pStyle w:val="18"/>
                    </w:pP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C28AE6">
    <w:pPr>
      <w:pStyle w:val="18"/>
      <w:tabs>
        <w:tab w:val="left" w:pos="434"/>
      </w:tabs>
      <w:jc w:val="both"/>
    </w:pPr>
    <w:r>
      <mc:AlternateContent>
        <mc:Choice Requires="wps">
          <w:drawing>
            <wp:anchor distT="0" distB="0" distL="114300" distR="114300" simplePos="0" relativeHeight="251676672" behindDoc="0" locked="0" layoutInCell="1" allowOverlap="1">
              <wp:simplePos x="0" y="0"/>
              <wp:positionH relativeFrom="margin">
                <wp:posOffset>-66675</wp:posOffset>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975675">
                          <w:pPr>
                            <w:rPr>
                              <w:rFonts w:hint="eastAsia"/>
                              <w:lang w:eastAsia="zh-CN"/>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5.25pt;margin-top:0pt;height:144pt;width:144pt;mso-position-horizontal-relative:margin;mso-wrap-style:none;z-index:251676672;mso-width-relative:page;mso-height-relative:page;" filled="f" stroked="f" coordsize="21600,21600" o:gfxdata="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Bg/jJfVAAAACAEAAA8AAAAAAAAAAQAgAAAAIgAAAGRycy9kb3ducmV2LnhtbFBLAQIUABQA&#10;AAAIAIdO4kAyCyLMLAIAAFcEAAAOAAAAAAAAAAEAIAAAACQBAABkcnMvZTJvRG9jLnhtbFBLBQYA&#10;AAAABgAGAFkBAADCBQAAAAA=&#10;">
              <v:fill on="f" focussize="0,0"/>
              <v:stroke on="f" weight="0.5pt"/>
              <v:imagedata o:title=""/>
              <o:lock v:ext="edit" aspectratio="f"/>
              <v:textbox inset="0mm,0mm,0mm,0mm" style="mso-fit-shape-to-text:t;">
                <w:txbxContent>
                  <w:p w14:paraId="56975675">
                    <w:pPr>
                      <w:rPr>
                        <w:rFonts w:hint="eastAsia"/>
                        <w:lang w:eastAsia="zh-CN"/>
                      </w:rPr>
                    </w:pPr>
                  </w:p>
                </w:txbxContent>
              </v:textbox>
            </v:shape>
          </w:pict>
        </mc:Fallback>
      </mc:AlternateContent>
    </w:r>
    <w:r>
      <w:rPr>
        <w:sz w:val="18"/>
      </w:rPr>
      <mc:AlternateContent>
        <mc:Choice Requires="wps">
          <w:drawing>
            <wp:anchor distT="0" distB="0" distL="114300" distR="114300" simplePos="0" relativeHeight="251677696" behindDoc="0" locked="0" layoutInCell="1" allowOverlap="1">
              <wp:simplePos x="0" y="0"/>
              <wp:positionH relativeFrom="margin">
                <wp:align>inside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8A578E">
                          <w:pPr>
                            <w:pStyle w:val="1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408A578E">
                    <w:pPr>
                      <w:pStyle w:val="18"/>
                    </w:pPr>
                    <w:r>
                      <w:fldChar w:fldCharType="begin"/>
                    </w:r>
                    <w:r>
                      <w:instrText xml:space="preserve"> PAGE  \* MERGEFORMAT </w:instrText>
                    </w:r>
                    <w:r>
                      <w:fldChar w:fldCharType="separate"/>
                    </w:r>
                    <w:r>
                      <w:t>2</w:t>
                    </w:r>
                    <w:r>
                      <w:fldChar w:fldCharType="end"/>
                    </w:r>
                  </w:p>
                </w:txbxContent>
              </v:textbox>
            </v:shape>
          </w:pict>
        </mc:Fallback>
      </mc:AlternateContent>
    </w:r>
    <w:r>
      <mc:AlternateContent>
        <mc:Choice Requires="wps">
          <w:drawing>
            <wp:anchor distT="0" distB="0" distL="114300" distR="114300" simplePos="0" relativeHeight="251674624" behindDoc="0" locked="0" layoutInCell="1" allowOverlap="1">
              <wp:simplePos x="0" y="0"/>
              <wp:positionH relativeFrom="margin">
                <wp:align>right</wp:align>
              </wp:positionH>
              <wp:positionV relativeFrom="paragraph">
                <wp:posOffset>0</wp:posOffset>
              </wp:positionV>
              <wp:extent cx="1828800" cy="1828800"/>
              <wp:effectExtent l="0" t="0" r="0" b="0"/>
              <wp:wrapNone/>
              <wp:docPr id="46" name="文本框 4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53501B">
                          <w:pPr>
                            <w:pStyle w:val="18"/>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Lg11ktAgAAVwQAAA4AAABkcnMvZTJvRG9jLnhtbK1UzY7TMBC+I/EO&#10;lu80aYGqqp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DLg11ktAgAAVwQAAA4AAAAAAAAAAQAgAAAAHwEAAGRycy9lMm9Eb2MueG1sUEsFBgAAAAAG&#10;AAYAWQEAAL4FAAAAAA==&#10;">
              <v:fill on="f" focussize="0,0"/>
              <v:stroke on="f" weight="0.5pt"/>
              <v:imagedata o:title=""/>
              <o:lock v:ext="edit" aspectratio="f"/>
              <v:textbox inset="0mm,0mm,0mm,0mm" style="mso-fit-shape-to-text:t;">
                <w:txbxContent>
                  <w:p w14:paraId="4D53501B">
                    <w:pPr>
                      <w:pStyle w:val="18"/>
                    </w:pPr>
                  </w:p>
                </w:txbxContent>
              </v:textbox>
            </v:shape>
          </w:pict>
        </mc:Fallback>
      </mc:AlternateContent>
    </w:r>
    <w:r>
      <mc:AlternateContent>
        <mc:Choice Requires="wps">
          <w:drawing>
            <wp:anchor distT="0" distB="0" distL="114300" distR="114300" simplePos="0" relativeHeight="251671552" behindDoc="0" locked="0" layoutInCell="1" allowOverlap="1">
              <wp:simplePos x="0" y="0"/>
              <wp:positionH relativeFrom="margin">
                <wp:align>left</wp:align>
              </wp:positionH>
              <wp:positionV relativeFrom="paragraph">
                <wp:posOffset>0</wp:posOffset>
              </wp:positionV>
              <wp:extent cx="1828800" cy="1828800"/>
              <wp:effectExtent l="0" t="0" r="0" b="0"/>
              <wp:wrapNone/>
              <wp:docPr id="40" name="文本框 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D6F437">
                          <w:pPr>
                            <w:pStyle w:val="18"/>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NLTQM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0tNAywCAABXBAAADgAAAAAAAAABACAAAAAfAQAAZHJzL2Uyb0RvYy54bWxQSwUGAAAAAAYA&#10;BgBZAQAAvQUAAAAA&#10;">
              <v:fill on="f" focussize="0,0"/>
              <v:stroke on="f" weight="0.5pt"/>
              <v:imagedata o:title=""/>
              <o:lock v:ext="edit" aspectratio="f"/>
              <v:textbox inset="0mm,0mm,0mm,0mm" style="mso-fit-shape-to-text:t;">
                <w:txbxContent>
                  <w:p w14:paraId="3ED6F437">
                    <w:pPr>
                      <w:pStyle w:val="18"/>
                    </w:pPr>
                  </w:p>
                </w:txbxContent>
              </v:textbox>
            </v:shape>
          </w:pict>
        </mc:Fallback>
      </mc:AlternateContent>
    </w:r>
    <w:r>
      <mc:AlternateContent>
        <mc:Choice Requires="wps">
          <w:drawing>
            <wp:anchor distT="0" distB="0" distL="114300" distR="114300" simplePos="0" relativeHeight="251670528" behindDoc="0" locked="0" layoutInCell="1" allowOverlap="1">
              <wp:simplePos x="0" y="0"/>
              <wp:positionH relativeFrom="margin">
                <wp:align>right</wp:align>
              </wp:positionH>
              <wp:positionV relativeFrom="paragraph">
                <wp:posOffset>0</wp:posOffset>
              </wp:positionV>
              <wp:extent cx="1828800" cy="1828800"/>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965123">
                          <w:pPr>
                            <w:pStyle w:val="18"/>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SBpj0tAgAAVwQAAA4AAABkcnMvZTJvRG9jLnhtbK1UzY7TMBC+I/EO&#10;lu80aVdU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BSBpj0tAgAAVwQAAA4AAAAAAAAAAQAgAAAAHwEAAGRycy9lMm9Eb2MueG1sUEsFBgAAAAAG&#10;AAYAWQEAAL4FAAAAAA==&#10;">
              <v:fill on="f" focussize="0,0"/>
              <v:stroke on="f" weight="0.5pt"/>
              <v:imagedata o:title=""/>
              <o:lock v:ext="edit" aspectratio="f"/>
              <v:textbox inset="0mm,0mm,0mm,0mm" style="mso-fit-shape-to-text:t;">
                <w:txbxContent>
                  <w:p w14:paraId="4C965123">
                    <w:pPr>
                      <w:pStyle w:val="18"/>
                    </w:pPr>
                  </w:p>
                </w:txbxContent>
              </v:textbox>
            </v:shape>
          </w:pict>
        </mc:Fallback>
      </mc:AlternateContent>
    </w:r>
    <w:r>
      <mc:AlternateContent>
        <mc:Choice Requires="wps">
          <w:drawing>
            <wp:anchor distT="0" distB="0" distL="114300" distR="114300" simplePos="0" relativeHeight="251666432" behindDoc="0" locked="0" layoutInCell="1" allowOverlap="1">
              <wp:simplePos x="0" y="0"/>
              <wp:positionH relativeFrom="margin">
                <wp:posOffset>-909320</wp:posOffset>
              </wp:positionH>
              <wp:positionV relativeFrom="paragraph">
                <wp:posOffset>-9840595</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88F73C">
                          <w:pPr>
                            <w:pStyle w:val="18"/>
                          </w:pPr>
                          <w:r>
                            <w:rPr>
                              <w:rFonts w:hint="eastAsia"/>
                            </w:rPr>
                            <w:t>3</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71.6pt;margin-top:-774.85pt;height:144pt;width:144pt;mso-position-horizontal-relative:margin;mso-wrap-style:none;z-index:251666432;mso-width-relative:page;mso-height-relative:page;" filled="f" stroked="f" coordsize="21600,21600" o:gfxdata="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IL6rfbAAAAEAEAAA8AAAAAAAAAAQAgAAAAIgAAAGRycy9kb3ducmV2LnhtbFBL&#10;AQIUABQAAAAIAIdO4kCD+evlLAIAAFcEAAAOAAAAAAAAAAEAIAAAACoBAABkcnMvZTJvRG9jLnht&#10;bFBLBQYAAAAABgAGAFkBAADIBQAAAAA=&#10;">
              <v:fill on="f" focussize="0,0"/>
              <v:stroke on="f" weight="0.5pt"/>
              <v:imagedata o:title=""/>
              <o:lock v:ext="edit" aspectratio="f"/>
              <v:textbox inset="0mm,0mm,0mm,0mm" style="mso-fit-shape-to-text:t;">
                <w:txbxContent>
                  <w:p w14:paraId="7E88F73C">
                    <w:pPr>
                      <w:pStyle w:val="18"/>
                    </w:pPr>
                    <w:r>
                      <w:rPr>
                        <w:rFonts w:hint="eastAsia"/>
                      </w:rPr>
                      <w:t>3</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B07B6C">
    <w:pPr>
      <w:pStyle w:val="70"/>
    </w:pPr>
    <w:r>
      <w:t>DB36/</w:t>
    </w:r>
    <w:r>
      <w:rPr>
        <w:rFonts w:hint="eastAsia"/>
      </w:rPr>
      <w:t>T 1417</w:t>
    </w:r>
    <w:r>
      <w:t>—</w:t>
    </w:r>
    <w:r>
      <w:rPr>
        <w:rFonts w:hint="eastAsia"/>
      </w:rPr>
      <w:t>2024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ABB086">
    <w:pPr>
      <w:pStyle w:val="69"/>
    </w:pPr>
    <w:r>
      <w:t>DB36/</w:t>
    </w:r>
    <w:r>
      <w:rPr>
        <w:rFonts w:hint="eastAsia"/>
      </w:rPr>
      <w:t>T 1417</w:t>
    </w:r>
    <w:r>
      <w:t>—</w:t>
    </w:r>
    <w:r>
      <w:rPr>
        <w:rFonts w:hint="eastAsia"/>
      </w:rPr>
      <w:t>2024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A44310">
    <w:pPr>
      <w:pStyle w:val="69"/>
    </w:pPr>
    <w:r>
      <w:t>DB</w:t>
    </w:r>
    <w:r>
      <w:rPr>
        <w:rFonts w:hint="eastAsia"/>
      </w:rPr>
      <w:t>36</w:t>
    </w:r>
    <w:r>
      <w:t>/</w:t>
    </w:r>
    <w:r>
      <w:rPr>
        <w:rFonts w:hint="eastAsia"/>
      </w:rPr>
      <w:t>T 1417</w:t>
    </w:r>
    <w:r>
      <w:t>—</w:t>
    </w:r>
    <w:r>
      <w:rPr>
        <w:rFonts w:hint="eastAsia"/>
      </w:rPr>
      <w:t>2024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42"/>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0">
      <w:start w:val="1"/>
      <w:numFmt w:val="decimal"/>
      <w:pStyle w:val="116"/>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AE367E9"/>
    <w:multiLevelType w:val="multilevel"/>
    <w:tmpl w:val="0AE367E9"/>
    <w:lvl w:ilvl="0" w:tentative="0">
      <w:start w:val="1"/>
      <w:numFmt w:val="none"/>
      <w:pStyle w:val="72"/>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
    <w:nsid w:val="0DDE2B46"/>
    <w:multiLevelType w:val="multilevel"/>
    <w:tmpl w:val="0DDE2B46"/>
    <w:lvl w:ilvl="0" w:tentative="0">
      <w:start w:val="1"/>
      <w:numFmt w:val="lowerLetter"/>
      <w:pStyle w:val="120"/>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4">
    <w:nsid w:val="1DBF583A"/>
    <w:multiLevelType w:val="multilevel"/>
    <w:tmpl w:val="1DBF583A"/>
    <w:lvl w:ilvl="0" w:tentative="0">
      <w:start w:val="1"/>
      <w:numFmt w:val="decimal"/>
      <w:pStyle w:val="79"/>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5">
    <w:nsid w:val="1FC91163"/>
    <w:multiLevelType w:val="multilevel"/>
    <w:tmpl w:val="1FC91163"/>
    <w:lvl w:ilvl="0" w:tentative="0">
      <w:start w:val="1"/>
      <w:numFmt w:val="decimal"/>
      <w:pStyle w:val="47"/>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50"/>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49"/>
      <w:suff w:val="nothing"/>
      <w:lvlText w:val="%1.%2.%3　"/>
      <w:lvlJc w:val="left"/>
      <w:pPr>
        <w:ind w:left="0" w:firstLine="0"/>
      </w:pPr>
      <w:rPr>
        <w:rFonts w:hint="eastAsia" w:ascii="黑体" w:hAnsi="Times New Roman" w:eastAsia="黑体"/>
        <w:b w:val="0"/>
        <w:i w:val="0"/>
        <w:sz w:val="21"/>
      </w:rPr>
    </w:lvl>
    <w:lvl w:ilvl="3" w:tentative="0">
      <w:start w:val="1"/>
      <w:numFmt w:val="decimal"/>
      <w:pStyle w:val="53"/>
      <w:suff w:val="nothing"/>
      <w:lvlText w:val="%1.%2.%3.%4　"/>
      <w:lvlJc w:val="left"/>
      <w:pPr>
        <w:ind w:left="0" w:firstLine="0"/>
      </w:pPr>
      <w:rPr>
        <w:rFonts w:hint="eastAsia" w:ascii="黑体" w:hAnsi="Times New Roman" w:eastAsia="黑体"/>
        <w:b w:val="0"/>
        <w:i w:val="0"/>
        <w:sz w:val="21"/>
      </w:rPr>
    </w:lvl>
    <w:lvl w:ilvl="4" w:tentative="0">
      <w:start w:val="1"/>
      <w:numFmt w:val="decimal"/>
      <w:pStyle w:val="52"/>
      <w:suff w:val="nothing"/>
      <w:lvlText w:val="%1.%2.%3.%4.%5　"/>
      <w:lvlJc w:val="left"/>
      <w:pPr>
        <w:ind w:left="0" w:firstLine="0"/>
      </w:pPr>
      <w:rPr>
        <w:rFonts w:hint="eastAsia" w:ascii="黑体" w:hAnsi="Times New Roman" w:eastAsia="黑体"/>
        <w:b w:val="0"/>
        <w:i w:val="0"/>
        <w:sz w:val="21"/>
      </w:rPr>
    </w:lvl>
    <w:lvl w:ilvl="5" w:tentative="0">
      <w:start w:val="1"/>
      <w:numFmt w:val="decimal"/>
      <w:pStyle w:val="60"/>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2A8F7113"/>
    <w:multiLevelType w:val="multilevel"/>
    <w:tmpl w:val="2A8F7113"/>
    <w:lvl w:ilvl="0" w:tentative="0">
      <w:start w:val="1"/>
      <w:numFmt w:val="upperLetter"/>
      <w:pStyle w:val="77"/>
      <w:suff w:val="space"/>
      <w:lvlText w:val="%1"/>
      <w:lvlJc w:val="left"/>
      <w:pPr>
        <w:ind w:left="623" w:hanging="425"/>
      </w:pPr>
      <w:rPr>
        <w:rFonts w:hint="eastAsia"/>
      </w:rPr>
    </w:lvl>
    <w:lvl w:ilvl="1" w:tentative="0">
      <w:start w:val="1"/>
      <w:numFmt w:val="decimal"/>
      <w:pStyle w:val="97"/>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7">
    <w:nsid w:val="2C5917C3"/>
    <w:multiLevelType w:val="multilevel"/>
    <w:tmpl w:val="2C5917C3"/>
    <w:lvl w:ilvl="0" w:tentative="0">
      <w:start w:val="1"/>
      <w:numFmt w:val="none"/>
      <w:pStyle w:val="76"/>
      <w:suff w:val="nothing"/>
      <w:lvlText w:val="%1——"/>
      <w:lvlJc w:val="left"/>
      <w:pPr>
        <w:ind w:left="833" w:hanging="408"/>
      </w:pPr>
      <w:rPr>
        <w:rFonts w:hint="eastAsia"/>
      </w:rPr>
    </w:lvl>
    <w:lvl w:ilvl="1" w:tentative="0">
      <w:start w:val="1"/>
      <w:numFmt w:val="bullet"/>
      <w:pStyle w:val="45"/>
      <w:lvlText w:val=""/>
      <w:lvlJc w:val="left"/>
      <w:pPr>
        <w:tabs>
          <w:tab w:val="left" w:pos="760"/>
        </w:tabs>
        <w:ind w:left="1264" w:hanging="413"/>
      </w:pPr>
      <w:rPr>
        <w:rFonts w:hint="default" w:ascii="Symbol" w:hAnsi="Symbol"/>
        <w:color w:val="auto"/>
      </w:rPr>
    </w:lvl>
    <w:lvl w:ilvl="2" w:tentative="0">
      <w:start w:val="1"/>
      <w:numFmt w:val="bullet"/>
      <w:pStyle w:val="58"/>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8">
    <w:nsid w:val="3D733618"/>
    <w:multiLevelType w:val="multilevel"/>
    <w:tmpl w:val="3D733618"/>
    <w:lvl w:ilvl="0" w:tentative="0">
      <w:start w:val="1"/>
      <w:numFmt w:val="decimal"/>
      <w:pStyle w:val="25"/>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9">
    <w:nsid w:val="44C50F90"/>
    <w:multiLevelType w:val="multilevel"/>
    <w:tmpl w:val="44C50F90"/>
    <w:lvl w:ilvl="0" w:tentative="0">
      <w:start w:val="1"/>
      <w:numFmt w:val="lowerLetter"/>
      <w:pStyle w:val="51"/>
      <w:lvlText w:val="%1)"/>
      <w:lvlJc w:val="left"/>
      <w:pPr>
        <w:tabs>
          <w:tab w:val="left" w:pos="840"/>
        </w:tabs>
        <w:ind w:left="839" w:hanging="419"/>
      </w:pPr>
      <w:rPr>
        <w:rFonts w:hint="eastAsia" w:ascii="宋体" w:eastAsia="宋体"/>
        <w:b w:val="0"/>
        <w:i w:val="0"/>
        <w:sz w:val="21"/>
        <w:szCs w:val="21"/>
      </w:rPr>
    </w:lvl>
    <w:lvl w:ilvl="1" w:tentative="0">
      <w:start w:val="1"/>
      <w:numFmt w:val="decimal"/>
      <w:pStyle w:val="78"/>
      <w:lvlText w:val="%2)"/>
      <w:lvlJc w:val="left"/>
      <w:pPr>
        <w:tabs>
          <w:tab w:val="left" w:pos="1260"/>
        </w:tabs>
        <w:ind w:left="1259" w:hanging="419"/>
      </w:pPr>
      <w:rPr>
        <w:rFonts w:hint="eastAsia"/>
      </w:rPr>
    </w:lvl>
    <w:lvl w:ilvl="2" w:tentative="0">
      <w:start w:val="1"/>
      <w:numFmt w:val="decimal"/>
      <w:pStyle w:val="81"/>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0">
    <w:nsid w:val="4B733A5F"/>
    <w:multiLevelType w:val="multilevel"/>
    <w:tmpl w:val="4B733A5F"/>
    <w:lvl w:ilvl="0" w:tentative="0">
      <w:start w:val="1"/>
      <w:numFmt w:val="decimal"/>
      <w:pStyle w:val="65"/>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1">
    <w:nsid w:val="557C2AF5"/>
    <w:multiLevelType w:val="multilevel"/>
    <w:tmpl w:val="557C2AF5"/>
    <w:lvl w:ilvl="0" w:tentative="0">
      <w:start w:val="1"/>
      <w:numFmt w:val="decimal"/>
      <w:pStyle w:val="126"/>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60B55DC2"/>
    <w:multiLevelType w:val="multilevel"/>
    <w:tmpl w:val="60B55DC2"/>
    <w:lvl w:ilvl="0" w:tentative="0">
      <w:start w:val="1"/>
      <w:numFmt w:val="upperLetter"/>
      <w:pStyle w:val="91"/>
      <w:lvlText w:val="%1"/>
      <w:lvlJc w:val="left"/>
      <w:pPr>
        <w:tabs>
          <w:tab w:val="left" w:pos="0"/>
        </w:tabs>
        <w:ind w:left="0" w:hanging="425"/>
      </w:pPr>
      <w:rPr>
        <w:rFonts w:hint="eastAsia"/>
      </w:rPr>
    </w:lvl>
    <w:lvl w:ilvl="1" w:tentative="0">
      <w:start w:val="1"/>
      <w:numFmt w:val="decimal"/>
      <w:pStyle w:val="43"/>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3">
    <w:nsid w:val="646260FA"/>
    <w:multiLevelType w:val="multilevel"/>
    <w:tmpl w:val="646260FA"/>
    <w:lvl w:ilvl="0" w:tentative="0">
      <w:start w:val="1"/>
      <w:numFmt w:val="decimal"/>
      <w:pStyle w:val="125"/>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4">
    <w:nsid w:val="657D3FBC"/>
    <w:multiLevelType w:val="multilevel"/>
    <w:tmpl w:val="657D3FBC"/>
    <w:lvl w:ilvl="0" w:tentative="0">
      <w:start w:val="1"/>
      <w:numFmt w:val="upperLetter"/>
      <w:pStyle w:val="66"/>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01"/>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02"/>
      <w:suff w:val="nothing"/>
      <w:lvlText w:val="%1.%2.%3　"/>
      <w:lvlJc w:val="left"/>
      <w:pPr>
        <w:ind w:left="0" w:firstLine="0"/>
      </w:pPr>
      <w:rPr>
        <w:rFonts w:hint="eastAsia" w:ascii="黑体" w:hAnsi="Times New Roman" w:eastAsia="黑体"/>
        <w:b w:val="0"/>
        <w:i w:val="0"/>
        <w:sz w:val="21"/>
      </w:rPr>
    </w:lvl>
    <w:lvl w:ilvl="3" w:tentative="0">
      <w:start w:val="1"/>
      <w:numFmt w:val="decimal"/>
      <w:pStyle w:val="57"/>
      <w:suff w:val="nothing"/>
      <w:lvlText w:val="%1.%2.%3.%4　"/>
      <w:lvlJc w:val="left"/>
      <w:pPr>
        <w:ind w:left="0" w:firstLine="0"/>
      </w:pPr>
      <w:rPr>
        <w:rFonts w:hint="eastAsia" w:ascii="黑体" w:hAnsi="Times New Roman" w:eastAsia="黑体"/>
        <w:b w:val="0"/>
        <w:i w:val="0"/>
        <w:sz w:val="21"/>
      </w:rPr>
    </w:lvl>
    <w:lvl w:ilvl="4" w:tentative="0">
      <w:start w:val="1"/>
      <w:numFmt w:val="decimal"/>
      <w:pStyle w:val="56"/>
      <w:suff w:val="nothing"/>
      <w:lvlText w:val="%1.%2.%3.%4.%5　"/>
      <w:lvlJc w:val="left"/>
      <w:pPr>
        <w:ind w:left="0" w:firstLine="0"/>
      </w:pPr>
      <w:rPr>
        <w:rFonts w:hint="eastAsia" w:ascii="黑体" w:hAnsi="Times New Roman" w:eastAsia="黑体"/>
        <w:b w:val="0"/>
        <w:i w:val="0"/>
        <w:sz w:val="21"/>
      </w:rPr>
    </w:lvl>
    <w:lvl w:ilvl="5" w:tentative="0">
      <w:start w:val="1"/>
      <w:numFmt w:val="decimal"/>
      <w:pStyle w:val="94"/>
      <w:suff w:val="nothing"/>
      <w:lvlText w:val="%1.%2.%3.%4.%5.%6　"/>
      <w:lvlJc w:val="left"/>
      <w:pPr>
        <w:ind w:left="0" w:firstLine="0"/>
      </w:pPr>
      <w:rPr>
        <w:rFonts w:hint="eastAsia" w:ascii="黑体" w:hAnsi="Times New Roman" w:eastAsia="黑体"/>
        <w:b w:val="0"/>
        <w:i w:val="0"/>
        <w:sz w:val="21"/>
      </w:rPr>
    </w:lvl>
    <w:lvl w:ilvl="6" w:tentative="0">
      <w:start w:val="1"/>
      <w:numFmt w:val="decimal"/>
      <w:pStyle w:val="98"/>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6D6C07CD"/>
    <w:multiLevelType w:val="multilevel"/>
    <w:tmpl w:val="6D6C07CD"/>
    <w:lvl w:ilvl="0" w:tentative="0">
      <w:start w:val="1"/>
      <w:numFmt w:val="lowerLetter"/>
      <w:pStyle w:val="105"/>
      <w:lvlText w:val="%1)"/>
      <w:lvlJc w:val="left"/>
      <w:pPr>
        <w:tabs>
          <w:tab w:val="left" w:pos="839"/>
        </w:tabs>
        <w:ind w:left="839" w:hanging="419"/>
      </w:pPr>
      <w:rPr>
        <w:rFonts w:hint="eastAsia" w:ascii="宋体" w:eastAsia="宋体"/>
        <w:b w:val="0"/>
        <w:i w:val="0"/>
        <w:sz w:val="21"/>
      </w:rPr>
    </w:lvl>
    <w:lvl w:ilvl="1" w:tentative="0">
      <w:start w:val="1"/>
      <w:numFmt w:val="decimal"/>
      <w:pStyle w:val="80"/>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6">
    <w:nsid w:val="6DBF04F4"/>
    <w:multiLevelType w:val="multilevel"/>
    <w:tmpl w:val="6DBF04F4"/>
    <w:lvl w:ilvl="0" w:tentative="0">
      <w:start w:val="1"/>
      <w:numFmt w:val="none"/>
      <w:pStyle w:val="44"/>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8"/>
  </w:num>
  <w:num w:numId="2">
    <w:abstractNumId w:val="0"/>
  </w:num>
  <w:num w:numId="3">
    <w:abstractNumId w:val="12"/>
  </w:num>
  <w:num w:numId="4">
    <w:abstractNumId w:val="16"/>
  </w:num>
  <w:num w:numId="5">
    <w:abstractNumId w:val="7"/>
  </w:num>
  <w:num w:numId="6">
    <w:abstractNumId w:val="5"/>
  </w:num>
  <w:num w:numId="7">
    <w:abstractNumId w:val="9"/>
  </w:num>
  <w:num w:numId="8">
    <w:abstractNumId w:val="14"/>
  </w:num>
  <w:num w:numId="9">
    <w:abstractNumId w:val="10"/>
  </w:num>
  <w:num w:numId="10">
    <w:abstractNumId w:val="2"/>
  </w:num>
  <w:num w:numId="11">
    <w:abstractNumId w:val="6"/>
  </w:num>
  <w:num w:numId="12">
    <w:abstractNumId w:val="4"/>
  </w:num>
  <w:num w:numId="13">
    <w:abstractNumId w:val="15"/>
  </w:num>
  <w:num w:numId="14">
    <w:abstractNumId w:val="1"/>
  </w:num>
  <w:num w:numId="15">
    <w:abstractNumId w:val="3"/>
  </w:num>
  <w:num w:numId="16">
    <w:abstractNumId w:val="1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evenAndOddHeaders w:val="1"/>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xM2Y1ZDQ4N2RhZjlmZDAyMThmODY1NmZlZjVhNjcifQ=="/>
  </w:docVars>
  <w:rsids>
    <w:rsidRoot w:val="3B995F53"/>
    <w:rsid w:val="00000244"/>
    <w:rsid w:val="000005EE"/>
    <w:rsid w:val="0000073F"/>
    <w:rsid w:val="0000185F"/>
    <w:rsid w:val="0000586F"/>
    <w:rsid w:val="00013D86"/>
    <w:rsid w:val="00013E02"/>
    <w:rsid w:val="0002143C"/>
    <w:rsid w:val="00025A65"/>
    <w:rsid w:val="00026C31"/>
    <w:rsid w:val="00027280"/>
    <w:rsid w:val="000320A7"/>
    <w:rsid w:val="00035925"/>
    <w:rsid w:val="000371E9"/>
    <w:rsid w:val="000440F8"/>
    <w:rsid w:val="000537AD"/>
    <w:rsid w:val="00061796"/>
    <w:rsid w:val="00067CDF"/>
    <w:rsid w:val="00074FBE"/>
    <w:rsid w:val="00083A09"/>
    <w:rsid w:val="0009005E"/>
    <w:rsid w:val="00092857"/>
    <w:rsid w:val="000936A4"/>
    <w:rsid w:val="000A20A9"/>
    <w:rsid w:val="000A44DB"/>
    <w:rsid w:val="000A48B1"/>
    <w:rsid w:val="000B3143"/>
    <w:rsid w:val="000C6B05"/>
    <w:rsid w:val="000C6DD6"/>
    <w:rsid w:val="000C73D4"/>
    <w:rsid w:val="000D3D4C"/>
    <w:rsid w:val="000D4F51"/>
    <w:rsid w:val="000D718B"/>
    <w:rsid w:val="000E0C46"/>
    <w:rsid w:val="000F030C"/>
    <w:rsid w:val="000F129C"/>
    <w:rsid w:val="000F280E"/>
    <w:rsid w:val="001056DE"/>
    <w:rsid w:val="001124C0"/>
    <w:rsid w:val="00124213"/>
    <w:rsid w:val="0013175F"/>
    <w:rsid w:val="001512B4"/>
    <w:rsid w:val="001620A5"/>
    <w:rsid w:val="00164E53"/>
    <w:rsid w:val="00165731"/>
    <w:rsid w:val="0016699D"/>
    <w:rsid w:val="00175159"/>
    <w:rsid w:val="00176208"/>
    <w:rsid w:val="0018211B"/>
    <w:rsid w:val="001840D3"/>
    <w:rsid w:val="00185FF2"/>
    <w:rsid w:val="001900F8"/>
    <w:rsid w:val="00191258"/>
    <w:rsid w:val="00191AF6"/>
    <w:rsid w:val="00192680"/>
    <w:rsid w:val="00193037"/>
    <w:rsid w:val="00193A2C"/>
    <w:rsid w:val="001A0B09"/>
    <w:rsid w:val="001A288E"/>
    <w:rsid w:val="001A3CD0"/>
    <w:rsid w:val="001A5924"/>
    <w:rsid w:val="001A6542"/>
    <w:rsid w:val="001B2E19"/>
    <w:rsid w:val="001B6DC2"/>
    <w:rsid w:val="001C0A6C"/>
    <w:rsid w:val="001C149C"/>
    <w:rsid w:val="001C21AC"/>
    <w:rsid w:val="001C47BA"/>
    <w:rsid w:val="001C59EA"/>
    <w:rsid w:val="001D0BD2"/>
    <w:rsid w:val="001D406C"/>
    <w:rsid w:val="001D41EE"/>
    <w:rsid w:val="001E0380"/>
    <w:rsid w:val="001E13B1"/>
    <w:rsid w:val="001F3A19"/>
    <w:rsid w:val="001F4AB7"/>
    <w:rsid w:val="001F71A5"/>
    <w:rsid w:val="00206C23"/>
    <w:rsid w:val="00234467"/>
    <w:rsid w:val="002355F2"/>
    <w:rsid w:val="00237D8D"/>
    <w:rsid w:val="002414C8"/>
    <w:rsid w:val="00241DA2"/>
    <w:rsid w:val="00247FEE"/>
    <w:rsid w:val="00250E7D"/>
    <w:rsid w:val="002565D5"/>
    <w:rsid w:val="002622C0"/>
    <w:rsid w:val="00264C60"/>
    <w:rsid w:val="00265688"/>
    <w:rsid w:val="002778AE"/>
    <w:rsid w:val="0028269A"/>
    <w:rsid w:val="00283590"/>
    <w:rsid w:val="00286973"/>
    <w:rsid w:val="00294E70"/>
    <w:rsid w:val="002971DF"/>
    <w:rsid w:val="002A1924"/>
    <w:rsid w:val="002A7420"/>
    <w:rsid w:val="002B0F12"/>
    <w:rsid w:val="002B1308"/>
    <w:rsid w:val="002B2309"/>
    <w:rsid w:val="002B4554"/>
    <w:rsid w:val="002C3FD9"/>
    <w:rsid w:val="002C72D8"/>
    <w:rsid w:val="002D11FA"/>
    <w:rsid w:val="002E0DDF"/>
    <w:rsid w:val="002E1D66"/>
    <w:rsid w:val="002E2906"/>
    <w:rsid w:val="002E5635"/>
    <w:rsid w:val="002E64C3"/>
    <w:rsid w:val="002E6A2C"/>
    <w:rsid w:val="002F1D8C"/>
    <w:rsid w:val="002F21DA"/>
    <w:rsid w:val="00301F39"/>
    <w:rsid w:val="003056F0"/>
    <w:rsid w:val="00311776"/>
    <w:rsid w:val="0031229B"/>
    <w:rsid w:val="00317113"/>
    <w:rsid w:val="00325926"/>
    <w:rsid w:val="0032689B"/>
    <w:rsid w:val="00327A8A"/>
    <w:rsid w:val="00336610"/>
    <w:rsid w:val="00343B69"/>
    <w:rsid w:val="00343F73"/>
    <w:rsid w:val="00345060"/>
    <w:rsid w:val="003459A2"/>
    <w:rsid w:val="003506CC"/>
    <w:rsid w:val="00352619"/>
    <w:rsid w:val="0035323B"/>
    <w:rsid w:val="003609D2"/>
    <w:rsid w:val="00363F22"/>
    <w:rsid w:val="00365F3B"/>
    <w:rsid w:val="00375564"/>
    <w:rsid w:val="0038051E"/>
    <w:rsid w:val="00383191"/>
    <w:rsid w:val="00386278"/>
    <w:rsid w:val="00386DED"/>
    <w:rsid w:val="003912E7"/>
    <w:rsid w:val="00393947"/>
    <w:rsid w:val="00397574"/>
    <w:rsid w:val="003A2275"/>
    <w:rsid w:val="003A2FAA"/>
    <w:rsid w:val="003A5AA8"/>
    <w:rsid w:val="003A5CD5"/>
    <w:rsid w:val="003A5E79"/>
    <w:rsid w:val="003A6A4F"/>
    <w:rsid w:val="003A7088"/>
    <w:rsid w:val="003B00DF"/>
    <w:rsid w:val="003B1275"/>
    <w:rsid w:val="003B1778"/>
    <w:rsid w:val="003B177F"/>
    <w:rsid w:val="003C11CB"/>
    <w:rsid w:val="003C75F3"/>
    <w:rsid w:val="003C78A3"/>
    <w:rsid w:val="003D579E"/>
    <w:rsid w:val="003E1867"/>
    <w:rsid w:val="003E5729"/>
    <w:rsid w:val="003F4EE0"/>
    <w:rsid w:val="00402153"/>
    <w:rsid w:val="00402FC1"/>
    <w:rsid w:val="004049ED"/>
    <w:rsid w:val="00415FAE"/>
    <w:rsid w:val="00425082"/>
    <w:rsid w:val="00431DEB"/>
    <w:rsid w:val="004451B5"/>
    <w:rsid w:val="00446B29"/>
    <w:rsid w:val="00447137"/>
    <w:rsid w:val="00453F9A"/>
    <w:rsid w:val="004541D9"/>
    <w:rsid w:val="00471E91"/>
    <w:rsid w:val="00474675"/>
    <w:rsid w:val="0047470C"/>
    <w:rsid w:val="0047691C"/>
    <w:rsid w:val="00476CBB"/>
    <w:rsid w:val="00495F68"/>
    <w:rsid w:val="004A2EC6"/>
    <w:rsid w:val="004A35F9"/>
    <w:rsid w:val="004B24C1"/>
    <w:rsid w:val="004C292F"/>
    <w:rsid w:val="004D02A1"/>
    <w:rsid w:val="004F4FB4"/>
    <w:rsid w:val="00510280"/>
    <w:rsid w:val="00511C86"/>
    <w:rsid w:val="00513D73"/>
    <w:rsid w:val="00514A43"/>
    <w:rsid w:val="005174E5"/>
    <w:rsid w:val="00517528"/>
    <w:rsid w:val="00522393"/>
    <w:rsid w:val="00522620"/>
    <w:rsid w:val="00524AE4"/>
    <w:rsid w:val="00525656"/>
    <w:rsid w:val="00534C02"/>
    <w:rsid w:val="00534D7C"/>
    <w:rsid w:val="0054264B"/>
    <w:rsid w:val="00543786"/>
    <w:rsid w:val="005533D7"/>
    <w:rsid w:val="005554D1"/>
    <w:rsid w:val="00556C19"/>
    <w:rsid w:val="00565388"/>
    <w:rsid w:val="005703DE"/>
    <w:rsid w:val="0058316B"/>
    <w:rsid w:val="0058464E"/>
    <w:rsid w:val="005976D1"/>
    <w:rsid w:val="005A01CB"/>
    <w:rsid w:val="005A58FF"/>
    <w:rsid w:val="005A5EAF"/>
    <w:rsid w:val="005A64C0"/>
    <w:rsid w:val="005B21CC"/>
    <w:rsid w:val="005B3C11"/>
    <w:rsid w:val="005C1C28"/>
    <w:rsid w:val="005C1DFA"/>
    <w:rsid w:val="005C49FC"/>
    <w:rsid w:val="005C6DB5"/>
    <w:rsid w:val="005D0BDC"/>
    <w:rsid w:val="005D43B2"/>
    <w:rsid w:val="005E19E7"/>
    <w:rsid w:val="005E2A5C"/>
    <w:rsid w:val="00600AD6"/>
    <w:rsid w:val="00607C3E"/>
    <w:rsid w:val="0061716C"/>
    <w:rsid w:val="006243A1"/>
    <w:rsid w:val="00632E56"/>
    <w:rsid w:val="00635CBA"/>
    <w:rsid w:val="0064338B"/>
    <w:rsid w:val="00646542"/>
    <w:rsid w:val="006504F4"/>
    <w:rsid w:val="006536F7"/>
    <w:rsid w:val="00654BC9"/>
    <w:rsid w:val="006552FD"/>
    <w:rsid w:val="00663AF3"/>
    <w:rsid w:val="00666B6C"/>
    <w:rsid w:val="0067795B"/>
    <w:rsid w:val="00682682"/>
    <w:rsid w:val="00682702"/>
    <w:rsid w:val="00692368"/>
    <w:rsid w:val="00692E7D"/>
    <w:rsid w:val="006A2EBC"/>
    <w:rsid w:val="006A5EA0"/>
    <w:rsid w:val="006A783B"/>
    <w:rsid w:val="006A7B33"/>
    <w:rsid w:val="006B4E13"/>
    <w:rsid w:val="006B75DD"/>
    <w:rsid w:val="006C67E0"/>
    <w:rsid w:val="006C7ABA"/>
    <w:rsid w:val="006D0D60"/>
    <w:rsid w:val="006D1122"/>
    <w:rsid w:val="006D18B4"/>
    <w:rsid w:val="006D29DD"/>
    <w:rsid w:val="006D3C00"/>
    <w:rsid w:val="006E3675"/>
    <w:rsid w:val="006E4A7F"/>
    <w:rsid w:val="00704DF6"/>
    <w:rsid w:val="0070651C"/>
    <w:rsid w:val="007132A3"/>
    <w:rsid w:val="00715062"/>
    <w:rsid w:val="00716421"/>
    <w:rsid w:val="00724EFB"/>
    <w:rsid w:val="007419C3"/>
    <w:rsid w:val="007467A7"/>
    <w:rsid w:val="007469DD"/>
    <w:rsid w:val="0074741B"/>
    <w:rsid w:val="0074759E"/>
    <w:rsid w:val="007478EA"/>
    <w:rsid w:val="0075415C"/>
    <w:rsid w:val="00754A21"/>
    <w:rsid w:val="0076143B"/>
    <w:rsid w:val="00763502"/>
    <w:rsid w:val="00782424"/>
    <w:rsid w:val="007913AB"/>
    <w:rsid w:val="007914F7"/>
    <w:rsid w:val="007A5BDE"/>
    <w:rsid w:val="007B1625"/>
    <w:rsid w:val="007B706E"/>
    <w:rsid w:val="007B71EB"/>
    <w:rsid w:val="007C6205"/>
    <w:rsid w:val="007C686A"/>
    <w:rsid w:val="007C728E"/>
    <w:rsid w:val="007D2C53"/>
    <w:rsid w:val="007D3D60"/>
    <w:rsid w:val="007D6A7D"/>
    <w:rsid w:val="007E1980"/>
    <w:rsid w:val="007E4B76"/>
    <w:rsid w:val="007E5EA8"/>
    <w:rsid w:val="007F0CF1"/>
    <w:rsid w:val="007F12A5"/>
    <w:rsid w:val="007F4CF1"/>
    <w:rsid w:val="007F758D"/>
    <w:rsid w:val="007F7D52"/>
    <w:rsid w:val="0080654C"/>
    <w:rsid w:val="008071C6"/>
    <w:rsid w:val="00817A00"/>
    <w:rsid w:val="00835DB3"/>
    <w:rsid w:val="0083617B"/>
    <w:rsid w:val="008371BD"/>
    <w:rsid w:val="008504A8"/>
    <w:rsid w:val="0085282E"/>
    <w:rsid w:val="0086082D"/>
    <w:rsid w:val="00866356"/>
    <w:rsid w:val="0087198C"/>
    <w:rsid w:val="00871A51"/>
    <w:rsid w:val="00872C1F"/>
    <w:rsid w:val="008731AE"/>
    <w:rsid w:val="00873B42"/>
    <w:rsid w:val="00880C6A"/>
    <w:rsid w:val="008856D8"/>
    <w:rsid w:val="008918A7"/>
    <w:rsid w:val="008927DF"/>
    <w:rsid w:val="00892E82"/>
    <w:rsid w:val="008A0325"/>
    <w:rsid w:val="008A6E71"/>
    <w:rsid w:val="008C1B58"/>
    <w:rsid w:val="008C39AE"/>
    <w:rsid w:val="008C590D"/>
    <w:rsid w:val="008E031B"/>
    <w:rsid w:val="008E5848"/>
    <w:rsid w:val="008E7029"/>
    <w:rsid w:val="008E7EF6"/>
    <w:rsid w:val="008F1F98"/>
    <w:rsid w:val="008F6758"/>
    <w:rsid w:val="00902768"/>
    <w:rsid w:val="009040DD"/>
    <w:rsid w:val="00905B47"/>
    <w:rsid w:val="0091331C"/>
    <w:rsid w:val="0092438D"/>
    <w:rsid w:val="009279DE"/>
    <w:rsid w:val="00930116"/>
    <w:rsid w:val="0094212C"/>
    <w:rsid w:val="00946EA5"/>
    <w:rsid w:val="00954689"/>
    <w:rsid w:val="00961014"/>
    <w:rsid w:val="00961567"/>
    <w:rsid w:val="009617C9"/>
    <w:rsid w:val="00961C93"/>
    <w:rsid w:val="00965324"/>
    <w:rsid w:val="0097091E"/>
    <w:rsid w:val="009737B8"/>
    <w:rsid w:val="009760D3"/>
    <w:rsid w:val="00977132"/>
    <w:rsid w:val="00981A4B"/>
    <w:rsid w:val="00982501"/>
    <w:rsid w:val="009877D3"/>
    <w:rsid w:val="00987D04"/>
    <w:rsid w:val="00994E8F"/>
    <w:rsid w:val="00994FB3"/>
    <w:rsid w:val="009951DC"/>
    <w:rsid w:val="009959BB"/>
    <w:rsid w:val="00997158"/>
    <w:rsid w:val="009A3A7C"/>
    <w:rsid w:val="009A7CFA"/>
    <w:rsid w:val="009B2ADB"/>
    <w:rsid w:val="009B603A"/>
    <w:rsid w:val="009B701E"/>
    <w:rsid w:val="009B789E"/>
    <w:rsid w:val="009C2D0E"/>
    <w:rsid w:val="009C3DAC"/>
    <w:rsid w:val="009C42E0"/>
    <w:rsid w:val="009C48FE"/>
    <w:rsid w:val="009D5362"/>
    <w:rsid w:val="009E1415"/>
    <w:rsid w:val="009E1FF3"/>
    <w:rsid w:val="009E6116"/>
    <w:rsid w:val="00A02E43"/>
    <w:rsid w:val="00A065F9"/>
    <w:rsid w:val="00A07F34"/>
    <w:rsid w:val="00A10670"/>
    <w:rsid w:val="00A14292"/>
    <w:rsid w:val="00A14B85"/>
    <w:rsid w:val="00A15C32"/>
    <w:rsid w:val="00A22154"/>
    <w:rsid w:val="00A25C38"/>
    <w:rsid w:val="00A26BFF"/>
    <w:rsid w:val="00A360AA"/>
    <w:rsid w:val="00A36BBE"/>
    <w:rsid w:val="00A4307A"/>
    <w:rsid w:val="00A45A6E"/>
    <w:rsid w:val="00A47EBB"/>
    <w:rsid w:val="00A51CDD"/>
    <w:rsid w:val="00A6730D"/>
    <w:rsid w:val="00A71625"/>
    <w:rsid w:val="00A71B9B"/>
    <w:rsid w:val="00A751C7"/>
    <w:rsid w:val="00A87844"/>
    <w:rsid w:val="00AA038C"/>
    <w:rsid w:val="00AA1E08"/>
    <w:rsid w:val="00AA7A09"/>
    <w:rsid w:val="00AB3B50"/>
    <w:rsid w:val="00AC05B1"/>
    <w:rsid w:val="00AC16AF"/>
    <w:rsid w:val="00AD0949"/>
    <w:rsid w:val="00AD0F28"/>
    <w:rsid w:val="00AD356C"/>
    <w:rsid w:val="00AD431F"/>
    <w:rsid w:val="00AE2914"/>
    <w:rsid w:val="00AE6046"/>
    <w:rsid w:val="00AE6D15"/>
    <w:rsid w:val="00B00704"/>
    <w:rsid w:val="00B01795"/>
    <w:rsid w:val="00B04182"/>
    <w:rsid w:val="00B06CA1"/>
    <w:rsid w:val="00B07AE3"/>
    <w:rsid w:val="00B11430"/>
    <w:rsid w:val="00B353EB"/>
    <w:rsid w:val="00B36267"/>
    <w:rsid w:val="00B439C4"/>
    <w:rsid w:val="00B4535E"/>
    <w:rsid w:val="00B52A8C"/>
    <w:rsid w:val="00B636A8"/>
    <w:rsid w:val="00B665C6"/>
    <w:rsid w:val="00B67175"/>
    <w:rsid w:val="00B713E7"/>
    <w:rsid w:val="00B74C3E"/>
    <w:rsid w:val="00B805AF"/>
    <w:rsid w:val="00B869EC"/>
    <w:rsid w:val="00B905EA"/>
    <w:rsid w:val="00B9397A"/>
    <w:rsid w:val="00B9633D"/>
    <w:rsid w:val="00BA2EBE"/>
    <w:rsid w:val="00BB0F28"/>
    <w:rsid w:val="00BB458A"/>
    <w:rsid w:val="00BD00D3"/>
    <w:rsid w:val="00BD1659"/>
    <w:rsid w:val="00BD3AA9"/>
    <w:rsid w:val="00BD4A18"/>
    <w:rsid w:val="00BD6DB2"/>
    <w:rsid w:val="00BE11CF"/>
    <w:rsid w:val="00BE21AB"/>
    <w:rsid w:val="00BE4C5F"/>
    <w:rsid w:val="00BE55CB"/>
    <w:rsid w:val="00BF617A"/>
    <w:rsid w:val="00C0379D"/>
    <w:rsid w:val="00C03931"/>
    <w:rsid w:val="00C05FE3"/>
    <w:rsid w:val="00C2136D"/>
    <w:rsid w:val="00C214EE"/>
    <w:rsid w:val="00C2314B"/>
    <w:rsid w:val="00C24971"/>
    <w:rsid w:val="00C26BE5"/>
    <w:rsid w:val="00C26E4D"/>
    <w:rsid w:val="00C27909"/>
    <w:rsid w:val="00C27B03"/>
    <w:rsid w:val="00C314E1"/>
    <w:rsid w:val="00C34397"/>
    <w:rsid w:val="00C4095D"/>
    <w:rsid w:val="00C56EA0"/>
    <w:rsid w:val="00C601D2"/>
    <w:rsid w:val="00C657AB"/>
    <w:rsid w:val="00C65BCC"/>
    <w:rsid w:val="00C66970"/>
    <w:rsid w:val="00C8691C"/>
    <w:rsid w:val="00C87F28"/>
    <w:rsid w:val="00CA168A"/>
    <w:rsid w:val="00CA357E"/>
    <w:rsid w:val="00CA44F9"/>
    <w:rsid w:val="00CA4A69"/>
    <w:rsid w:val="00CC2F4D"/>
    <w:rsid w:val="00CC3E0C"/>
    <w:rsid w:val="00CC58D3"/>
    <w:rsid w:val="00CC784D"/>
    <w:rsid w:val="00CC7CC1"/>
    <w:rsid w:val="00CD4EE1"/>
    <w:rsid w:val="00CF2D87"/>
    <w:rsid w:val="00CF69CC"/>
    <w:rsid w:val="00D0337B"/>
    <w:rsid w:val="00D04D14"/>
    <w:rsid w:val="00D079B2"/>
    <w:rsid w:val="00D114E9"/>
    <w:rsid w:val="00D12B88"/>
    <w:rsid w:val="00D20F2B"/>
    <w:rsid w:val="00D27E82"/>
    <w:rsid w:val="00D429C6"/>
    <w:rsid w:val="00D47748"/>
    <w:rsid w:val="00D54CC3"/>
    <w:rsid w:val="00D564B9"/>
    <w:rsid w:val="00D6041A"/>
    <w:rsid w:val="00D633EB"/>
    <w:rsid w:val="00D63731"/>
    <w:rsid w:val="00D67BB3"/>
    <w:rsid w:val="00D70E80"/>
    <w:rsid w:val="00D733E3"/>
    <w:rsid w:val="00D82FF7"/>
    <w:rsid w:val="00D8454B"/>
    <w:rsid w:val="00D847FE"/>
    <w:rsid w:val="00D94BAC"/>
    <w:rsid w:val="00D964EA"/>
    <w:rsid w:val="00D966D0"/>
    <w:rsid w:val="00D96706"/>
    <w:rsid w:val="00DA0C59"/>
    <w:rsid w:val="00DA24CD"/>
    <w:rsid w:val="00DA3991"/>
    <w:rsid w:val="00DB5833"/>
    <w:rsid w:val="00DB7B08"/>
    <w:rsid w:val="00DB7E6C"/>
    <w:rsid w:val="00DC3B55"/>
    <w:rsid w:val="00DD5A29"/>
    <w:rsid w:val="00DD5D9D"/>
    <w:rsid w:val="00DE35CB"/>
    <w:rsid w:val="00DF21E9"/>
    <w:rsid w:val="00DF4F78"/>
    <w:rsid w:val="00E00F14"/>
    <w:rsid w:val="00E06386"/>
    <w:rsid w:val="00E24EB4"/>
    <w:rsid w:val="00E27EAB"/>
    <w:rsid w:val="00E320ED"/>
    <w:rsid w:val="00E33AFB"/>
    <w:rsid w:val="00E34218"/>
    <w:rsid w:val="00E46282"/>
    <w:rsid w:val="00E50938"/>
    <w:rsid w:val="00E5216E"/>
    <w:rsid w:val="00E82344"/>
    <w:rsid w:val="00E84C82"/>
    <w:rsid w:val="00E84D64"/>
    <w:rsid w:val="00E87408"/>
    <w:rsid w:val="00E910DE"/>
    <w:rsid w:val="00E914C4"/>
    <w:rsid w:val="00E934F5"/>
    <w:rsid w:val="00E96961"/>
    <w:rsid w:val="00EA72EC"/>
    <w:rsid w:val="00EB11CB"/>
    <w:rsid w:val="00EB275A"/>
    <w:rsid w:val="00EB786A"/>
    <w:rsid w:val="00EC1578"/>
    <w:rsid w:val="00EC1C72"/>
    <w:rsid w:val="00EC3CC9"/>
    <w:rsid w:val="00EC680A"/>
    <w:rsid w:val="00ED11B9"/>
    <w:rsid w:val="00EE21BD"/>
    <w:rsid w:val="00EE2BED"/>
    <w:rsid w:val="00EE374B"/>
    <w:rsid w:val="00EE7014"/>
    <w:rsid w:val="00F05385"/>
    <w:rsid w:val="00F05BFE"/>
    <w:rsid w:val="00F11BB5"/>
    <w:rsid w:val="00F1276A"/>
    <w:rsid w:val="00F1417B"/>
    <w:rsid w:val="00F14F69"/>
    <w:rsid w:val="00F213B6"/>
    <w:rsid w:val="00F232FE"/>
    <w:rsid w:val="00F24C4D"/>
    <w:rsid w:val="00F324E4"/>
    <w:rsid w:val="00F3273B"/>
    <w:rsid w:val="00F34B99"/>
    <w:rsid w:val="00F52DAB"/>
    <w:rsid w:val="00F543F0"/>
    <w:rsid w:val="00F61A1A"/>
    <w:rsid w:val="00F62821"/>
    <w:rsid w:val="00F6633E"/>
    <w:rsid w:val="00F67EE5"/>
    <w:rsid w:val="00F81D29"/>
    <w:rsid w:val="00F824D9"/>
    <w:rsid w:val="00F82D16"/>
    <w:rsid w:val="00F91C4D"/>
    <w:rsid w:val="00F92FD9"/>
    <w:rsid w:val="00FA6684"/>
    <w:rsid w:val="00FA731E"/>
    <w:rsid w:val="00FB1EF3"/>
    <w:rsid w:val="00FB2B38"/>
    <w:rsid w:val="00FC1776"/>
    <w:rsid w:val="00FC32AB"/>
    <w:rsid w:val="00FC6358"/>
    <w:rsid w:val="00FD1FB3"/>
    <w:rsid w:val="00FD320D"/>
    <w:rsid w:val="00FE23DE"/>
    <w:rsid w:val="00FF2FB2"/>
    <w:rsid w:val="00FF6DB2"/>
    <w:rsid w:val="00FF778E"/>
    <w:rsid w:val="0250142F"/>
    <w:rsid w:val="025340A4"/>
    <w:rsid w:val="05BA0443"/>
    <w:rsid w:val="07C84C04"/>
    <w:rsid w:val="0BBD4AFE"/>
    <w:rsid w:val="0F8F7B04"/>
    <w:rsid w:val="1336424B"/>
    <w:rsid w:val="13785160"/>
    <w:rsid w:val="1741241C"/>
    <w:rsid w:val="17862275"/>
    <w:rsid w:val="18FE7487"/>
    <w:rsid w:val="19AF76D0"/>
    <w:rsid w:val="1D5C280E"/>
    <w:rsid w:val="1F375035"/>
    <w:rsid w:val="1F7F26AA"/>
    <w:rsid w:val="21926869"/>
    <w:rsid w:val="228B3B76"/>
    <w:rsid w:val="23FD2CF7"/>
    <w:rsid w:val="24783581"/>
    <w:rsid w:val="250F2B31"/>
    <w:rsid w:val="252D3BF5"/>
    <w:rsid w:val="256F0FBE"/>
    <w:rsid w:val="26620711"/>
    <w:rsid w:val="27EC02CA"/>
    <w:rsid w:val="2D0A3B01"/>
    <w:rsid w:val="2E094AAC"/>
    <w:rsid w:val="2ED66730"/>
    <w:rsid w:val="31D00A71"/>
    <w:rsid w:val="327F27CB"/>
    <w:rsid w:val="3611601B"/>
    <w:rsid w:val="364F048F"/>
    <w:rsid w:val="3ACF1D2C"/>
    <w:rsid w:val="3B650E02"/>
    <w:rsid w:val="3B995F53"/>
    <w:rsid w:val="3C854DEB"/>
    <w:rsid w:val="3FB011EE"/>
    <w:rsid w:val="3FE16E6E"/>
    <w:rsid w:val="4635247E"/>
    <w:rsid w:val="481D2E27"/>
    <w:rsid w:val="4E55437A"/>
    <w:rsid w:val="4E7C19C4"/>
    <w:rsid w:val="504771A6"/>
    <w:rsid w:val="54C96D08"/>
    <w:rsid w:val="55132D45"/>
    <w:rsid w:val="551831FB"/>
    <w:rsid w:val="55782303"/>
    <w:rsid w:val="55B17EA6"/>
    <w:rsid w:val="567F4486"/>
    <w:rsid w:val="56B22454"/>
    <w:rsid w:val="575F1106"/>
    <w:rsid w:val="58332C8E"/>
    <w:rsid w:val="5A71710E"/>
    <w:rsid w:val="5A7B6CD4"/>
    <w:rsid w:val="5B5163B3"/>
    <w:rsid w:val="5D7F2799"/>
    <w:rsid w:val="5E4525FD"/>
    <w:rsid w:val="637C187A"/>
    <w:rsid w:val="66CC4F29"/>
    <w:rsid w:val="694E4C43"/>
    <w:rsid w:val="6A4E61B3"/>
    <w:rsid w:val="6BAD4EF4"/>
    <w:rsid w:val="6E3971CF"/>
    <w:rsid w:val="6F420329"/>
    <w:rsid w:val="704C7D16"/>
    <w:rsid w:val="77216C55"/>
    <w:rsid w:val="77AB1FA3"/>
    <w:rsid w:val="78227E6F"/>
    <w:rsid w:val="78A82963"/>
    <w:rsid w:val="7BB06C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b/>
      <w:kern w:val="44"/>
      <w:sz w:val="48"/>
      <w:szCs w:val="48"/>
    </w:rPr>
  </w:style>
  <w:style w:type="paragraph" w:styleId="3">
    <w:name w:val="heading 3"/>
    <w:basedOn w:val="1"/>
    <w:next w:val="1"/>
    <w:qFormat/>
    <w:uiPriority w:val="0"/>
    <w:pPr>
      <w:spacing w:before="100" w:beforeAutospacing="1" w:after="100" w:afterAutospacing="1"/>
      <w:jc w:val="left"/>
      <w:outlineLvl w:val="2"/>
    </w:pPr>
    <w:rPr>
      <w:rFonts w:ascii="宋体" w:hAnsi="宋体"/>
      <w:b/>
      <w:bCs/>
      <w:kern w:val="0"/>
      <w:sz w:val="27"/>
      <w:szCs w:val="27"/>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4">
    <w:name w:val="toc 7"/>
    <w:basedOn w:val="1"/>
    <w:next w:val="1"/>
    <w:semiHidden/>
    <w:qFormat/>
    <w:uiPriority w:val="0"/>
    <w:pPr>
      <w:tabs>
        <w:tab w:val="right" w:leader="dot" w:pos="9241"/>
      </w:tabs>
      <w:ind w:firstLine="500" w:firstLineChars="500"/>
      <w:jc w:val="left"/>
    </w:pPr>
    <w:rPr>
      <w:rFonts w:ascii="宋体"/>
      <w:szCs w:val="21"/>
    </w:rPr>
  </w:style>
  <w:style w:type="paragraph" w:styleId="5">
    <w:name w:val="index 8"/>
    <w:basedOn w:val="1"/>
    <w:next w:val="1"/>
    <w:qFormat/>
    <w:uiPriority w:val="0"/>
    <w:pPr>
      <w:ind w:left="1680" w:hanging="210"/>
      <w:jc w:val="left"/>
    </w:pPr>
    <w:rPr>
      <w:rFonts w:ascii="Calibri" w:hAnsi="Calibri"/>
      <w:sz w:val="20"/>
      <w:szCs w:val="20"/>
    </w:rPr>
  </w:style>
  <w:style w:type="paragraph" w:styleId="6">
    <w:name w:val="caption"/>
    <w:basedOn w:val="1"/>
    <w:next w:val="1"/>
    <w:qFormat/>
    <w:uiPriority w:val="0"/>
    <w:pPr>
      <w:spacing w:before="152" w:after="160"/>
    </w:pPr>
    <w:rPr>
      <w:rFonts w:ascii="Arial" w:hAnsi="Arial" w:eastAsia="黑体" w:cs="Arial"/>
      <w:sz w:val="20"/>
      <w:szCs w:val="20"/>
    </w:rPr>
  </w:style>
  <w:style w:type="paragraph" w:styleId="7">
    <w:name w:val="index 5"/>
    <w:basedOn w:val="1"/>
    <w:next w:val="1"/>
    <w:qFormat/>
    <w:uiPriority w:val="0"/>
    <w:pPr>
      <w:ind w:left="1050" w:hanging="210"/>
      <w:jc w:val="left"/>
    </w:pPr>
    <w:rPr>
      <w:rFonts w:ascii="Calibri" w:hAnsi="Calibri"/>
      <w:sz w:val="20"/>
      <w:szCs w:val="20"/>
    </w:rPr>
  </w:style>
  <w:style w:type="paragraph" w:styleId="8">
    <w:name w:val="Document Map"/>
    <w:basedOn w:val="1"/>
    <w:semiHidden/>
    <w:qFormat/>
    <w:uiPriority w:val="0"/>
    <w:pPr>
      <w:shd w:val="clear" w:color="auto" w:fill="000080"/>
    </w:pPr>
  </w:style>
  <w:style w:type="paragraph" w:styleId="9">
    <w:name w:val="index 6"/>
    <w:basedOn w:val="1"/>
    <w:next w:val="1"/>
    <w:qFormat/>
    <w:uiPriority w:val="0"/>
    <w:pPr>
      <w:ind w:left="1260" w:hanging="210"/>
      <w:jc w:val="left"/>
    </w:pPr>
    <w:rPr>
      <w:rFonts w:ascii="Calibri" w:hAnsi="Calibri"/>
      <w:sz w:val="20"/>
      <w:szCs w:val="20"/>
    </w:rPr>
  </w:style>
  <w:style w:type="paragraph" w:styleId="10">
    <w:name w:val="Body Text"/>
    <w:basedOn w:val="1"/>
    <w:semiHidden/>
    <w:qFormat/>
    <w:uiPriority w:val="0"/>
    <w:rPr>
      <w:rFonts w:ascii="宋体" w:hAnsi="宋体" w:cs="宋体"/>
      <w:sz w:val="28"/>
      <w:szCs w:val="28"/>
      <w:lang w:eastAsia="en-US"/>
    </w:rPr>
  </w:style>
  <w:style w:type="paragraph" w:styleId="11">
    <w:name w:val="index 4"/>
    <w:basedOn w:val="1"/>
    <w:next w:val="1"/>
    <w:qFormat/>
    <w:uiPriority w:val="0"/>
    <w:pPr>
      <w:ind w:left="840" w:hanging="210"/>
      <w:jc w:val="left"/>
    </w:pPr>
    <w:rPr>
      <w:rFonts w:ascii="Calibri" w:hAnsi="Calibri"/>
      <w:sz w:val="20"/>
      <w:szCs w:val="20"/>
    </w:rPr>
  </w:style>
  <w:style w:type="paragraph" w:styleId="12">
    <w:name w:val="toc 5"/>
    <w:basedOn w:val="1"/>
    <w:next w:val="1"/>
    <w:semiHidden/>
    <w:qFormat/>
    <w:uiPriority w:val="0"/>
    <w:pPr>
      <w:tabs>
        <w:tab w:val="right" w:leader="dot" w:pos="9241"/>
      </w:tabs>
      <w:ind w:firstLine="300" w:firstLineChars="300"/>
      <w:jc w:val="left"/>
    </w:pPr>
    <w:rPr>
      <w:rFonts w:ascii="宋体"/>
      <w:szCs w:val="21"/>
    </w:rPr>
  </w:style>
  <w:style w:type="paragraph" w:styleId="13">
    <w:name w:val="toc 3"/>
    <w:basedOn w:val="1"/>
    <w:next w:val="1"/>
    <w:qFormat/>
    <w:uiPriority w:val="39"/>
    <w:pPr>
      <w:tabs>
        <w:tab w:val="right" w:leader="dot" w:pos="9241"/>
      </w:tabs>
      <w:ind w:firstLine="100" w:firstLineChars="100"/>
      <w:jc w:val="left"/>
    </w:pPr>
    <w:rPr>
      <w:rFonts w:ascii="宋体"/>
      <w:szCs w:val="21"/>
    </w:rPr>
  </w:style>
  <w:style w:type="paragraph" w:styleId="14">
    <w:name w:val="toc 8"/>
    <w:basedOn w:val="1"/>
    <w:next w:val="1"/>
    <w:semiHidden/>
    <w:qFormat/>
    <w:uiPriority w:val="0"/>
    <w:pPr>
      <w:tabs>
        <w:tab w:val="right" w:leader="dot" w:pos="9241"/>
      </w:tabs>
      <w:ind w:firstLine="607" w:firstLineChars="600"/>
      <w:jc w:val="left"/>
    </w:pPr>
    <w:rPr>
      <w:rFonts w:ascii="宋体"/>
      <w:szCs w:val="21"/>
    </w:rPr>
  </w:style>
  <w:style w:type="paragraph" w:styleId="15">
    <w:name w:val="index 3"/>
    <w:basedOn w:val="1"/>
    <w:next w:val="1"/>
    <w:qFormat/>
    <w:uiPriority w:val="0"/>
    <w:pPr>
      <w:ind w:left="630" w:hanging="210"/>
      <w:jc w:val="left"/>
    </w:pPr>
    <w:rPr>
      <w:rFonts w:ascii="Calibri" w:hAnsi="Calibri"/>
      <w:sz w:val="20"/>
      <w:szCs w:val="20"/>
    </w:rPr>
  </w:style>
  <w:style w:type="paragraph" w:styleId="16">
    <w:name w:val="endnote text"/>
    <w:basedOn w:val="1"/>
    <w:semiHidden/>
    <w:qFormat/>
    <w:uiPriority w:val="0"/>
    <w:pPr>
      <w:snapToGrid w:val="0"/>
      <w:jc w:val="left"/>
    </w:pPr>
  </w:style>
  <w:style w:type="paragraph" w:styleId="17">
    <w:name w:val="Balloon Text"/>
    <w:basedOn w:val="1"/>
    <w:link w:val="139"/>
    <w:qFormat/>
    <w:uiPriority w:val="0"/>
    <w:rPr>
      <w:sz w:val="18"/>
      <w:szCs w:val="18"/>
    </w:rPr>
  </w:style>
  <w:style w:type="paragraph" w:styleId="18">
    <w:name w:val="footer"/>
    <w:basedOn w:val="1"/>
    <w:qFormat/>
    <w:uiPriority w:val="0"/>
    <w:pPr>
      <w:snapToGrid w:val="0"/>
      <w:ind w:right="210" w:rightChars="100"/>
      <w:jc w:val="right"/>
    </w:pPr>
    <w:rPr>
      <w:sz w:val="18"/>
      <w:szCs w:val="18"/>
    </w:rPr>
  </w:style>
  <w:style w:type="paragraph" w:styleId="19">
    <w:name w:val="header"/>
    <w:basedOn w:val="1"/>
    <w:qFormat/>
    <w:uiPriority w:val="0"/>
    <w:pPr>
      <w:snapToGrid w:val="0"/>
      <w:jc w:val="left"/>
    </w:pPr>
    <w:rPr>
      <w:sz w:val="18"/>
      <w:szCs w:val="18"/>
    </w:rPr>
  </w:style>
  <w:style w:type="paragraph" w:styleId="20">
    <w:name w:val="toc 1"/>
    <w:basedOn w:val="1"/>
    <w:next w:val="1"/>
    <w:qFormat/>
    <w:uiPriority w:val="39"/>
    <w:pPr>
      <w:tabs>
        <w:tab w:val="right" w:leader="dot" w:pos="9242"/>
      </w:tabs>
      <w:spacing w:before="25" w:beforeLines="25" w:after="25" w:afterLines="25"/>
      <w:jc w:val="left"/>
    </w:pPr>
    <w:rPr>
      <w:rFonts w:ascii="宋体"/>
      <w:szCs w:val="21"/>
    </w:rPr>
  </w:style>
  <w:style w:type="paragraph" w:styleId="21">
    <w:name w:val="toc 4"/>
    <w:basedOn w:val="1"/>
    <w:next w:val="1"/>
    <w:semiHidden/>
    <w:qFormat/>
    <w:uiPriority w:val="0"/>
    <w:pPr>
      <w:tabs>
        <w:tab w:val="right" w:leader="dot" w:pos="9241"/>
      </w:tabs>
      <w:ind w:firstLine="200" w:firstLineChars="200"/>
      <w:jc w:val="left"/>
    </w:pPr>
    <w:rPr>
      <w:rFonts w:ascii="宋体"/>
      <w:szCs w:val="21"/>
    </w:rPr>
  </w:style>
  <w:style w:type="paragraph" w:styleId="22">
    <w:name w:val="index heading"/>
    <w:basedOn w:val="1"/>
    <w:next w:val="23"/>
    <w:qFormat/>
    <w:uiPriority w:val="0"/>
    <w:pPr>
      <w:spacing w:before="120" w:after="120"/>
      <w:jc w:val="center"/>
    </w:pPr>
    <w:rPr>
      <w:rFonts w:ascii="Calibri" w:hAnsi="Calibri"/>
      <w:b/>
      <w:bCs/>
      <w:iCs/>
      <w:szCs w:val="20"/>
    </w:rPr>
  </w:style>
  <w:style w:type="paragraph" w:styleId="23">
    <w:name w:val="index 1"/>
    <w:basedOn w:val="1"/>
    <w:next w:val="24"/>
    <w:qFormat/>
    <w:uiPriority w:val="0"/>
    <w:pPr>
      <w:tabs>
        <w:tab w:val="right" w:leader="dot" w:pos="9299"/>
      </w:tabs>
      <w:jc w:val="left"/>
    </w:pPr>
    <w:rPr>
      <w:rFonts w:ascii="宋体"/>
      <w:szCs w:val="21"/>
    </w:rPr>
  </w:style>
  <w:style w:type="paragraph" w:customStyle="1" w:styleId="24">
    <w:name w:val="段"/>
    <w:link w:val="133"/>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5">
    <w:name w:val="footnote text"/>
    <w:basedOn w:val="1"/>
    <w:qFormat/>
    <w:uiPriority w:val="0"/>
    <w:pPr>
      <w:numPr>
        <w:ilvl w:val="0"/>
        <w:numId w:val="1"/>
      </w:numPr>
      <w:snapToGrid w:val="0"/>
      <w:jc w:val="left"/>
    </w:pPr>
    <w:rPr>
      <w:rFonts w:ascii="宋体"/>
      <w:sz w:val="18"/>
      <w:szCs w:val="18"/>
    </w:rPr>
  </w:style>
  <w:style w:type="paragraph" w:styleId="26">
    <w:name w:val="toc 6"/>
    <w:basedOn w:val="1"/>
    <w:next w:val="1"/>
    <w:semiHidden/>
    <w:qFormat/>
    <w:uiPriority w:val="0"/>
    <w:pPr>
      <w:tabs>
        <w:tab w:val="right" w:leader="dot" w:pos="9241"/>
      </w:tabs>
      <w:ind w:firstLine="400" w:firstLineChars="400"/>
      <w:jc w:val="left"/>
    </w:pPr>
    <w:rPr>
      <w:rFonts w:ascii="宋体"/>
      <w:szCs w:val="21"/>
    </w:rPr>
  </w:style>
  <w:style w:type="paragraph" w:styleId="27">
    <w:name w:val="index 7"/>
    <w:basedOn w:val="1"/>
    <w:next w:val="1"/>
    <w:qFormat/>
    <w:uiPriority w:val="0"/>
    <w:pPr>
      <w:ind w:left="1470" w:hanging="210"/>
      <w:jc w:val="left"/>
    </w:pPr>
    <w:rPr>
      <w:rFonts w:ascii="Calibri" w:hAnsi="Calibri"/>
      <w:sz w:val="20"/>
      <w:szCs w:val="20"/>
    </w:rPr>
  </w:style>
  <w:style w:type="paragraph" w:styleId="28">
    <w:name w:val="index 9"/>
    <w:basedOn w:val="1"/>
    <w:next w:val="1"/>
    <w:qFormat/>
    <w:uiPriority w:val="0"/>
    <w:pPr>
      <w:ind w:left="1890" w:hanging="210"/>
      <w:jc w:val="left"/>
    </w:pPr>
    <w:rPr>
      <w:rFonts w:ascii="Calibri" w:hAnsi="Calibri"/>
      <w:sz w:val="20"/>
      <w:szCs w:val="20"/>
    </w:rPr>
  </w:style>
  <w:style w:type="paragraph" w:styleId="29">
    <w:name w:val="toc 2"/>
    <w:basedOn w:val="1"/>
    <w:next w:val="1"/>
    <w:semiHidden/>
    <w:qFormat/>
    <w:uiPriority w:val="0"/>
    <w:pPr>
      <w:tabs>
        <w:tab w:val="right" w:leader="dot" w:pos="9242"/>
      </w:tabs>
    </w:pPr>
    <w:rPr>
      <w:rFonts w:ascii="宋体"/>
      <w:szCs w:val="21"/>
    </w:rPr>
  </w:style>
  <w:style w:type="paragraph" w:styleId="30">
    <w:name w:val="toc 9"/>
    <w:basedOn w:val="1"/>
    <w:next w:val="1"/>
    <w:semiHidden/>
    <w:qFormat/>
    <w:uiPriority w:val="0"/>
    <w:pPr>
      <w:ind w:left="1470"/>
      <w:jc w:val="left"/>
    </w:pPr>
    <w:rPr>
      <w:sz w:val="20"/>
      <w:szCs w:val="20"/>
    </w:rPr>
  </w:style>
  <w:style w:type="paragraph" w:styleId="31">
    <w:name w:val="index 2"/>
    <w:basedOn w:val="1"/>
    <w:next w:val="1"/>
    <w:qFormat/>
    <w:uiPriority w:val="0"/>
    <w:pPr>
      <w:ind w:left="420" w:hanging="210"/>
      <w:jc w:val="left"/>
    </w:pPr>
    <w:rPr>
      <w:rFonts w:ascii="Calibri" w:hAnsi="Calibri"/>
      <w:sz w:val="20"/>
      <w:szCs w:val="20"/>
    </w:rPr>
  </w:style>
  <w:style w:type="table" w:styleId="33">
    <w:name w:val="Table Grid"/>
    <w:basedOn w:val="32"/>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5">
    <w:name w:val="Strong"/>
    <w:basedOn w:val="34"/>
    <w:qFormat/>
    <w:uiPriority w:val="0"/>
    <w:rPr>
      <w:b/>
    </w:rPr>
  </w:style>
  <w:style w:type="character" w:styleId="36">
    <w:name w:val="endnote reference"/>
    <w:semiHidden/>
    <w:qFormat/>
    <w:uiPriority w:val="0"/>
    <w:rPr>
      <w:vertAlign w:val="superscript"/>
    </w:rPr>
  </w:style>
  <w:style w:type="character" w:styleId="37">
    <w:name w:val="page number"/>
    <w:basedOn w:val="34"/>
    <w:qFormat/>
    <w:uiPriority w:val="0"/>
    <w:rPr>
      <w:rFonts w:ascii="Times New Roman" w:hAnsi="Times New Roman" w:eastAsia="宋体"/>
      <w:sz w:val="18"/>
    </w:rPr>
  </w:style>
  <w:style w:type="character" w:styleId="38">
    <w:name w:val="FollowedHyperlink"/>
    <w:qFormat/>
    <w:uiPriority w:val="0"/>
    <w:rPr>
      <w:color w:val="800080"/>
      <w:u w:val="single"/>
    </w:rPr>
  </w:style>
  <w:style w:type="character" w:styleId="39">
    <w:name w:val="Hyperlink"/>
    <w:qFormat/>
    <w:uiPriority w:val="99"/>
    <w:rPr>
      <w:color w:val="0000FF"/>
      <w:spacing w:val="0"/>
      <w:w w:val="100"/>
      <w:szCs w:val="21"/>
      <w:u w:val="single"/>
    </w:rPr>
  </w:style>
  <w:style w:type="character" w:styleId="40">
    <w:name w:val="footnote reference"/>
    <w:semiHidden/>
    <w:qFormat/>
    <w:uiPriority w:val="0"/>
    <w:rPr>
      <w:vertAlign w:val="superscript"/>
    </w:rPr>
  </w:style>
  <w:style w:type="paragraph" w:customStyle="1" w:styleId="41">
    <w:name w:val="标准书眉一"/>
    <w:qFormat/>
    <w:uiPriority w:val="0"/>
    <w:pPr>
      <w:jc w:val="both"/>
    </w:pPr>
    <w:rPr>
      <w:rFonts w:ascii="Times New Roman" w:hAnsi="Times New Roman" w:eastAsia="宋体" w:cs="Times New Roman"/>
      <w:lang w:val="en-US" w:eastAsia="zh-CN" w:bidi="ar-SA"/>
    </w:rPr>
  </w:style>
  <w:style w:type="paragraph" w:customStyle="1" w:styleId="42">
    <w:name w:val="注×："/>
    <w:qFormat/>
    <w:uiPriority w:val="0"/>
    <w:pPr>
      <w:widowControl w:val="0"/>
      <w:numPr>
        <w:ilvl w:val="0"/>
        <w:numId w:val="2"/>
      </w:numPr>
      <w:autoSpaceDE w:val="0"/>
      <w:autoSpaceDN w:val="0"/>
      <w:jc w:val="both"/>
    </w:pPr>
    <w:rPr>
      <w:rFonts w:ascii="宋体" w:hAnsi="Times New Roman" w:eastAsia="宋体" w:cs="Times New Roman"/>
      <w:sz w:val="18"/>
      <w:szCs w:val="18"/>
      <w:lang w:val="en-US" w:eastAsia="zh-CN" w:bidi="ar-SA"/>
    </w:rPr>
  </w:style>
  <w:style w:type="paragraph" w:customStyle="1" w:styleId="43">
    <w:name w:val="附录表标题"/>
    <w:basedOn w:val="1"/>
    <w:next w:val="24"/>
    <w:qFormat/>
    <w:uiPriority w:val="0"/>
    <w:pPr>
      <w:numPr>
        <w:ilvl w:val="1"/>
        <w:numId w:val="3"/>
      </w:numPr>
      <w:tabs>
        <w:tab w:val="left" w:pos="180"/>
      </w:tabs>
      <w:spacing w:before="50" w:beforeLines="50" w:after="50" w:afterLines="50"/>
      <w:ind w:left="0" w:firstLine="0"/>
      <w:jc w:val="center"/>
    </w:pPr>
    <w:rPr>
      <w:rFonts w:ascii="黑体" w:eastAsia="黑体"/>
      <w:szCs w:val="21"/>
    </w:rPr>
  </w:style>
  <w:style w:type="paragraph" w:customStyle="1" w:styleId="44">
    <w:name w:val="注："/>
    <w:next w:val="24"/>
    <w:qFormat/>
    <w:uiPriority w:val="0"/>
    <w:pPr>
      <w:widowControl w:val="0"/>
      <w:numPr>
        <w:ilvl w:val="0"/>
        <w:numId w:val="4"/>
      </w:numPr>
      <w:autoSpaceDE w:val="0"/>
      <w:autoSpaceDN w:val="0"/>
      <w:jc w:val="both"/>
    </w:pPr>
    <w:rPr>
      <w:rFonts w:ascii="宋体" w:hAnsi="Times New Roman" w:eastAsia="宋体" w:cs="Times New Roman"/>
      <w:sz w:val="18"/>
      <w:szCs w:val="18"/>
      <w:lang w:val="en-US" w:eastAsia="zh-CN" w:bidi="ar-SA"/>
    </w:rPr>
  </w:style>
  <w:style w:type="paragraph" w:customStyle="1" w:styleId="45">
    <w:name w:val="列项●（二级）"/>
    <w:qFormat/>
    <w:uiPriority w:val="0"/>
    <w:pPr>
      <w:numPr>
        <w:ilvl w:val="1"/>
        <w:numId w:val="5"/>
      </w:numPr>
      <w:tabs>
        <w:tab w:val="left" w:pos="840"/>
      </w:tabs>
      <w:jc w:val="both"/>
    </w:pPr>
    <w:rPr>
      <w:rFonts w:ascii="宋体" w:hAnsi="Times New Roman" w:eastAsia="宋体" w:cs="Times New Roman"/>
      <w:sz w:val="21"/>
      <w:lang w:val="en-US" w:eastAsia="zh-CN" w:bidi="ar-SA"/>
    </w:rPr>
  </w:style>
  <w:style w:type="paragraph" w:customStyle="1" w:styleId="46">
    <w:name w:val="封面正文"/>
    <w:qFormat/>
    <w:uiPriority w:val="0"/>
    <w:pPr>
      <w:jc w:val="both"/>
    </w:pPr>
    <w:rPr>
      <w:rFonts w:ascii="Times New Roman" w:hAnsi="Times New Roman" w:eastAsia="宋体" w:cs="Times New Roman"/>
      <w:lang w:val="en-US" w:eastAsia="zh-CN" w:bidi="ar-SA"/>
    </w:rPr>
  </w:style>
  <w:style w:type="paragraph" w:customStyle="1" w:styleId="47">
    <w:name w:val="章标题"/>
    <w:next w:val="24"/>
    <w:qFormat/>
    <w:uiPriority w:val="0"/>
    <w:pPr>
      <w:numPr>
        <w:ilvl w:val="0"/>
        <w:numId w:val="6"/>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48">
    <w:name w:val="二级无"/>
    <w:basedOn w:val="49"/>
    <w:qFormat/>
    <w:uiPriority w:val="0"/>
    <w:pPr>
      <w:spacing w:before="0" w:beforeLines="0" w:after="0" w:afterLines="0"/>
    </w:pPr>
    <w:rPr>
      <w:rFonts w:ascii="宋体" w:eastAsia="宋体"/>
    </w:rPr>
  </w:style>
  <w:style w:type="paragraph" w:customStyle="1" w:styleId="49">
    <w:name w:val="二级条标题"/>
    <w:basedOn w:val="50"/>
    <w:next w:val="24"/>
    <w:qFormat/>
    <w:uiPriority w:val="0"/>
    <w:pPr>
      <w:numPr>
        <w:ilvl w:val="2"/>
      </w:numPr>
      <w:spacing w:before="50" w:after="50"/>
      <w:outlineLvl w:val="3"/>
    </w:pPr>
  </w:style>
  <w:style w:type="paragraph" w:customStyle="1" w:styleId="50">
    <w:name w:val="一级条标题"/>
    <w:next w:val="24"/>
    <w:qFormat/>
    <w:uiPriority w:val="0"/>
    <w:pPr>
      <w:numPr>
        <w:ilvl w:val="1"/>
        <w:numId w:val="6"/>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51">
    <w:name w:val="字母编号列项（一级）"/>
    <w:qFormat/>
    <w:uiPriority w:val="0"/>
    <w:pPr>
      <w:numPr>
        <w:ilvl w:val="0"/>
        <w:numId w:val="7"/>
      </w:numPr>
      <w:jc w:val="both"/>
    </w:pPr>
    <w:rPr>
      <w:rFonts w:ascii="宋体" w:hAnsi="Times New Roman" w:eastAsia="宋体" w:cs="Times New Roman"/>
      <w:sz w:val="21"/>
      <w:lang w:val="en-US" w:eastAsia="zh-CN" w:bidi="ar-SA"/>
    </w:rPr>
  </w:style>
  <w:style w:type="paragraph" w:customStyle="1" w:styleId="52">
    <w:name w:val="四级条标题"/>
    <w:basedOn w:val="53"/>
    <w:next w:val="24"/>
    <w:qFormat/>
    <w:uiPriority w:val="0"/>
    <w:pPr>
      <w:numPr>
        <w:ilvl w:val="4"/>
      </w:numPr>
      <w:outlineLvl w:val="5"/>
    </w:pPr>
  </w:style>
  <w:style w:type="paragraph" w:customStyle="1" w:styleId="53">
    <w:name w:val="三级条标题"/>
    <w:basedOn w:val="49"/>
    <w:next w:val="24"/>
    <w:qFormat/>
    <w:uiPriority w:val="0"/>
    <w:pPr>
      <w:numPr>
        <w:ilvl w:val="3"/>
      </w:numPr>
      <w:outlineLvl w:val="4"/>
    </w:pPr>
  </w:style>
  <w:style w:type="paragraph" w:customStyle="1" w:styleId="54">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55">
    <w:name w:val="附录三级无"/>
    <w:basedOn w:val="56"/>
    <w:qFormat/>
    <w:uiPriority w:val="0"/>
    <w:pPr>
      <w:tabs>
        <w:tab w:val="left" w:pos="360"/>
      </w:tabs>
      <w:spacing w:before="0" w:beforeLines="0" w:after="0" w:afterLines="0"/>
    </w:pPr>
    <w:rPr>
      <w:rFonts w:ascii="宋体" w:eastAsia="宋体"/>
      <w:szCs w:val="21"/>
    </w:rPr>
  </w:style>
  <w:style w:type="paragraph" w:customStyle="1" w:styleId="56">
    <w:name w:val="附录三级条标题"/>
    <w:basedOn w:val="57"/>
    <w:next w:val="24"/>
    <w:qFormat/>
    <w:uiPriority w:val="0"/>
    <w:pPr>
      <w:numPr>
        <w:ilvl w:val="4"/>
      </w:numPr>
      <w:tabs>
        <w:tab w:val="left" w:pos="360"/>
      </w:tabs>
      <w:outlineLvl w:val="4"/>
    </w:pPr>
  </w:style>
  <w:style w:type="paragraph" w:customStyle="1" w:styleId="57">
    <w:name w:val="附录二级条标题"/>
    <w:basedOn w:val="1"/>
    <w:next w:val="24"/>
    <w:qFormat/>
    <w:uiPriority w:val="0"/>
    <w:pPr>
      <w:widowControl/>
      <w:numPr>
        <w:ilvl w:val="3"/>
        <w:numId w:val="8"/>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58">
    <w:name w:val="列项◆（三级）"/>
    <w:basedOn w:val="1"/>
    <w:qFormat/>
    <w:uiPriority w:val="0"/>
    <w:pPr>
      <w:numPr>
        <w:ilvl w:val="2"/>
        <w:numId w:val="5"/>
      </w:numPr>
    </w:pPr>
    <w:rPr>
      <w:rFonts w:ascii="宋体"/>
      <w:szCs w:val="21"/>
    </w:rPr>
  </w:style>
  <w:style w:type="paragraph" w:customStyle="1" w:styleId="59">
    <w:name w:val="附录二级无"/>
    <w:basedOn w:val="57"/>
    <w:qFormat/>
    <w:uiPriority w:val="0"/>
    <w:pPr>
      <w:tabs>
        <w:tab w:val="clear" w:pos="360"/>
      </w:tabs>
      <w:spacing w:before="0" w:beforeLines="0" w:after="0" w:afterLines="0"/>
    </w:pPr>
    <w:rPr>
      <w:rFonts w:ascii="宋体" w:eastAsia="宋体"/>
      <w:szCs w:val="21"/>
    </w:rPr>
  </w:style>
  <w:style w:type="paragraph" w:customStyle="1" w:styleId="60">
    <w:name w:val="五级条标题"/>
    <w:basedOn w:val="52"/>
    <w:next w:val="24"/>
    <w:qFormat/>
    <w:uiPriority w:val="0"/>
    <w:pPr>
      <w:numPr>
        <w:ilvl w:val="5"/>
      </w:numPr>
      <w:outlineLvl w:val="6"/>
    </w:pPr>
  </w:style>
  <w:style w:type="paragraph" w:customStyle="1" w:styleId="61">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62">
    <w:name w:val="参考文献"/>
    <w:basedOn w:val="1"/>
    <w:next w:val="2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63">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64">
    <w:name w:val="注：（正文）"/>
    <w:basedOn w:val="44"/>
    <w:next w:val="24"/>
    <w:qFormat/>
    <w:uiPriority w:val="0"/>
  </w:style>
  <w:style w:type="paragraph" w:customStyle="1" w:styleId="65">
    <w:name w:val="示例×："/>
    <w:basedOn w:val="47"/>
    <w:qFormat/>
    <w:uiPriority w:val="0"/>
    <w:pPr>
      <w:numPr>
        <w:numId w:val="9"/>
      </w:numPr>
      <w:spacing w:before="0" w:beforeLines="0" w:after="0" w:afterLines="0"/>
      <w:outlineLvl w:val="9"/>
    </w:pPr>
    <w:rPr>
      <w:rFonts w:ascii="宋体" w:eastAsia="宋体"/>
      <w:sz w:val="18"/>
      <w:szCs w:val="18"/>
    </w:rPr>
  </w:style>
  <w:style w:type="paragraph" w:customStyle="1" w:styleId="66">
    <w:name w:val="附录标识"/>
    <w:basedOn w:val="1"/>
    <w:next w:val="24"/>
    <w:qFormat/>
    <w:uiPriority w:val="0"/>
    <w:pPr>
      <w:keepNext/>
      <w:widowControl/>
      <w:numPr>
        <w:ilvl w:val="0"/>
        <w:numId w:val="8"/>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67">
    <w:name w:val="目次、标准名称标题"/>
    <w:basedOn w:val="1"/>
    <w:next w:val="2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68">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69">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70">
    <w:name w:val="标准书眉_偶数页"/>
    <w:basedOn w:val="69"/>
    <w:next w:val="1"/>
    <w:qFormat/>
    <w:uiPriority w:val="0"/>
    <w:pPr>
      <w:jc w:val="left"/>
    </w:pPr>
  </w:style>
  <w:style w:type="paragraph" w:customStyle="1" w:styleId="71">
    <w:name w:val="附录标题"/>
    <w:basedOn w:val="24"/>
    <w:next w:val="24"/>
    <w:qFormat/>
    <w:uiPriority w:val="0"/>
    <w:pPr>
      <w:ind w:firstLine="0" w:firstLineChars="0"/>
      <w:jc w:val="center"/>
    </w:pPr>
    <w:rPr>
      <w:rFonts w:ascii="黑体" w:eastAsia="黑体"/>
    </w:rPr>
  </w:style>
  <w:style w:type="paragraph" w:customStyle="1" w:styleId="72">
    <w:name w:val="示例"/>
    <w:next w:val="73"/>
    <w:qFormat/>
    <w:uiPriority w:val="0"/>
    <w:pPr>
      <w:widowControl w:val="0"/>
      <w:numPr>
        <w:ilvl w:val="0"/>
        <w:numId w:val="10"/>
      </w:numPr>
      <w:jc w:val="both"/>
    </w:pPr>
    <w:rPr>
      <w:rFonts w:ascii="宋体" w:hAnsi="Times New Roman" w:eastAsia="宋体" w:cs="Times New Roman"/>
      <w:sz w:val="18"/>
      <w:szCs w:val="18"/>
      <w:lang w:val="en-US" w:eastAsia="zh-CN" w:bidi="ar-SA"/>
    </w:rPr>
  </w:style>
  <w:style w:type="paragraph" w:customStyle="1" w:styleId="73">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74">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75">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76">
    <w:name w:val="列项——（一级）"/>
    <w:qFormat/>
    <w:uiPriority w:val="0"/>
    <w:pPr>
      <w:widowControl w:val="0"/>
      <w:numPr>
        <w:ilvl w:val="0"/>
        <w:numId w:val="5"/>
      </w:numPr>
      <w:jc w:val="both"/>
    </w:pPr>
    <w:rPr>
      <w:rFonts w:ascii="宋体" w:hAnsi="Times New Roman" w:eastAsia="宋体" w:cs="Times New Roman"/>
      <w:sz w:val="21"/>
      <w:lang w:val="en-US" w:eastAsia="zh-CN" w:bidi="ar-SA"/>
    </w:rPr>
  </w:style>
  <w:style w:type="paragraph" w:customStyle="1" w:styleId="77">
    <w:name w:val="附录图标号"/>
    <w:basedOn w:val="1"/>
    <w:qFormat/>
    <w:uiPriority w:val="0"/>
    <w:pPr>
      <w:keepNext/>
      <w:pageBreakBefore/>
      <w:widowControl/>
      <w:numPr>
        <w:ilvl w:val="0"/>
        <w:numId w:val="11"/>
      </w:numPr>
      <w:spacing w:line="14" w:lineRule="exact"/>
      <w:ind w:left="0" w:firstLine="363"/>
      <w:jc w:val="center"/>
      <w:outlineLvl w:val="0"/>
    </w:pPr>
    <w:rPr>
      <w:color w:val="FFFFFF"/>
    </w:rPr>
  </w:style>
  <w:style w:type="paragraph" w:customStyle="1" w:styleId="78">
    <w:name w:val="数字编号列项（二级）"/>
    <w:qFormat/>
    <w:uiPriority w:val="0"/>
    <w:pPr>
      <w:numPr>
        <w:ilvl w:val="1"/>
        <w:numId w:val="7"/>
      </w:numPr>
      <w:jc w:val="both"/>
    </w:pPr>
    <w:rPr>
      <w:rFonts w:ascii="宋体" w:hAnsi="Times New Roman" w:eastAsia="宋体" w:cs="Times New Roman"/>
      <w:sz w:val="21"/>
      <w:lang w:val="en-US" w:eastAsia="zh-CN" w:bidi="ar-SA"/>
    </w:rPr>
  </w:style>
  <w:style w:type="paragraph" w:customStyle="1" w:styleId="79">
    <w:name w:val="注×：（正文）"/>
    <w:qFormat/>
    <w:uiPriority w:val="0"/>
    <w:pPr>
      <w:numPr>
        <w:ilvl w:val="0"/>
        <w:numId w:val="12"/>
      </w:numPr>
      <w:jc w:val="both"/>
    </w:pPr>
    <w:rPr>
      <w:rFonts w:ascii="宋体" w:hAnsi="Times New Roman" w:eastAsia="宋体" w:cs="Times New Roman"/>
      <w:sz w:val="18"/>
      <w:szCs w:val="18"/>
      <w:lang w:val="en-US" w:eastAsia="zh-CN" w:bidi="ar-SA"/>
    </w:rPr>
  </w:style>
  <w:style w:type="paragraph" w:customStyle="1" w:styleId="80">
    <w:name w:val="附录数字编号列项（二级）"/>
    <w:qFormat/>
    <w:uiPriority w:val="0"/>
    <w:pPr>
      <w:numPr>
        <w:ilvl w:val="1"/>
        <w:numId w:val="13"/>
      </w:numPr>
    </w:pPr>
    <w:rPr>
      <w:rFonts w:ascii="宋体" w:hAnsi="Times New Roman" w:eastAsia="宋体" w:cs="Times New Roman"/>
      <w:sz w:val="21"/>
      <w:lang w:val="en-US" w:eastAsia="zh-CN" w:bidi="ar-SA"/>
    </w:rPr>
  </w:style>
  <w:style w:type="paragraph" w:customStyle="1" w:styleId="81">
    <w:name w:val="编号列项（三级）"/>
    <w:qFormat/>
    <w:uiPriority w:val="0"/>
    <w:pPr>
      <w:numPr>
        <w:ilvl w:val="2"/>
        <w:numId w:val="7"/>
      </w:numPr>
    </w:pPr>
    <w:rPr>
      <w:rFonts w:ascii="宋体" w:hAnsi="Times New Roman" w:eastAsia="宋体" w:cs="Times New Roman"/>
      <w:sz w:val="21"/>
      <w:lang w:val="en-US" w:eastAsia="zh-CN" w:bidi="ar-SA"/>
    </w:rPr>
  </w:style>
  <w:style w:type="paragraph" w:customStyle="1" w:styleId="82">
    <w:name w:val="参考文献、索引标题"/>
    <w:basedOn w:val="1"/>
    <w:next w:val="2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83">
    <w:name w:val="发布部门"/>
    <w:next w:val="24"/>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84">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85">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86">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7">
    <w:name w:val="封面标准英文名称"/>
    <w:basedOn w:val="86"/>
    <w:qFormat/>
    <w:uiPriority w:val="0"/>
    <w:pPr>
      <w:framePr w:wrap="around"/>
      <w:spacing w:before="370" w:line="400" w:lineRule="exact"/>
    </w:pPr>
    <w:rPr>
      <w:rFonts w:ascii="Times New Roman"/>
      <w:sz w:val="28"/>
      <w:szCs w:val="28"/>
    </w:rPr>
  </w:style>
  <w:style w:type="paragraph" w:customStyle="1" w:styleId="88">
    <w:name w:val="封面一致性程度标识"/>
    <w:basedOn w:val="87"/>
    <w:qFormat/>
    <w:uiPriority w:val="0"/>
    <w:pPr>
      <w:framePr w:wrap="around"/>
      <w:spacing w:before="440"/>
    </w:pPr>
    <w:rPr>
      <w:rFonts w:ascii="宋体" w:eastAsia="宋体"/>
    </w:rPr>
  </w:style>
  <w:style w:type="paragraph" w:customStyle="1" w:styleId="89">
    <w:name w:val="封面标准文稿类别"/>
    <w:basedOn w:val="88"/>
    <w:qFormat/>
    <w:uiPriority w:val="0"/>
    <w:pPr>
      <w:framePr w:wrap="around"/>
      <w:spacing w:after="160" w:line="240" w:lineRule="auto"/>
    </w:pPr>
    <w:rPr>
      <w:sz w:val="24"/>
    </w:rPr>
  </w:style>
  <w:style w:type="paragraph" w:customStyle="1" w:styleId="90">
    <w:name w:val="封面标准文稿编辑信息"/>
    <w:basedOn w:val="89"/>
    <w:qFormat/>
    <w:uiPriority w:val="0"/>
    <w:pPr>
      <w:framePr w:wrap="around"/>
      <w:spacing w:before="180" w:line="180" w:lineRule="exact"/>
    </w:pPr>
    <w:rPr>
      <w:sz w:val="21"/>
    </w:rPr>
  </w:style>
  <w:style w:type="paragraph" w:customStyle="1" w:styleId="91">
    <w:name w:val="附录表标号"/>
    <w:basedOn w:val="1"/>
    <w:next w:val="24"/>
    <w:qFormat/>
    <w:uiPriority w:val="0"/>
    <w:pPr>
      <w:numPr>
        <w:ilvl w:val="0"/>
        <w:numId w:val="3"/>
      </w:numPr>
      <w:tabs>
        <w:tab w:val="clear" w:pos="0"/>
      </w:tabs>
      <w:spacing w:line="14" w:lineRule="exact"/>
      <w:ind w:left="811" w:hanging="448"/>
      <w:jc w:val="center"/>
      <w:outlineLvl w:val="0"/>
    </w:pPr>
    <w:rPr>
      <w:color w:val="FFFFFF"/>
    </w:rPr>
  </w:style>
  <w:style w:type="paragraph" w:customStyle="1" w:styleId="92">
    <w:name w:val="附录公式"/>
    <w:basedOn w:val="24"/>
    <w:next w:val="24"/>
    <w:link w:val="135"/>
    <w:qFormat/>
    <w:uiPriority w:val="0"/>
  </w:style>
  <w:style w:type="paragraph" w:customStyle="1" w:styleId="93">
    <w:name w:val="附录公式编号制表符"/>
    <w:basedOn w:val="1"/>
    <w:next w:val="24"/>
    <w:qFormat/>
    <w:uiPriority w:val="0"/>
    <w:pPr>
      <w:widowControl/>
      <w:tabs>
        <w:tab w:val="center" w:pos="4201"/>
        <w:tab w:val="right" w:leader="dot" w:pos="9298"/>
      </w:tabs>
      <w:autoSpaceDE w:val="0"/>
      <w:autoSpaceDN w:val="0"/>
    </w:pPr>
    <w:rPr>
      <w:rFonts w:ascii="宋体"/>
      <w:kern w:val="0"/>
      <w:szCs w:val="20"/>
    </w:rPr>
  </w:style>
  <w:style w:type="paragraph" w:customStyle="1" w:styleId="94">
    <w:name w:val="附录四级条标题"/>
    <w:basedOn w:val="56"/>
    <w:next w:val="24"/>
    <w:qFormat/>
    <w:uiPriority w:val="0"/>
    <w:pPr>
      <w:numPr>
        <w:ilvl w:val="5"/>
      </w:numPr>
      <w:outlineLvl w:val="5"/>
    </w:pPr>
  </w:style>
  <w:style w:type="paragraph" w:customStyle="1" w:styleId="95">
    <w:name w:val="终结线"/>
    <w:basedOn w:val="1"/>
    <w:qFormat/>
    <w:uiPriority w:val="0"/>
    <w:pPr>
      <w:framePr w:hSpace="181" w:vSpace="181" w:wrap="around" w:vAnchor="text" w:hAnchor="margin" w:xAlign="center" w:y="285"/>
    </w:pPr>
  </w:style>
  <w:style w:type="paragraph" w:customStyle="1" w:styleId="96">
    <w:name w:val="附录四级无"/>
    <w:basedOn w:val="94"/>
    <w:qFormat/>
    <w:uiPriority w:val="0"/>
    <w:pPr>
      <w:tabs>
        <w:tab w:val="clear" w:pos="360"/>
      </w:tabs>
      <w:spacing w:before="0" w:beforeLines="0" w:after="0" w:afterLines="0"/>
    </w:pPr>
    <w:rPr>
      <w:rFonts w:ascii="宋体" w:eastAsia="宋体"/>
      <w:szCs w:val="21"/>
    </w:rPr>
  </w:style>
  <w:style w:type="paragraph" w:customStyle="1" w:styleId="97">
    <w:name w:val="附录图标题"/>
    <w:basedOn w:val="1"/>
    <w:next w:val="24"/>
    <w:qFormat/>
    <w:uiPriority w:val="0"/>
    <w:pPr>
      <w:numPr>
        <w:ilvl w:val="1"/>
        <w:numId w:val="11"/>
      </w:numPr>
      <w:tabs>
        <w:tab w:val="left" w:pos="363"/>
      </w:tabs>
      <w:spacing w:before="50" w:beforeLines="50" w:after="50" w:afterLines="50"/>
      <w:ind w:left="0" w:firstLine="0"/>
      <w:jc w:val="center"/>
    </w:pPr>
    <w:rPr>
      <w:rFonts w:ascii="黑体" w:eastAsia="黑体"/>
      <w:szCs w:val="21"/>
    </w:rPr>
  </w:style>
  <w:style w:type="paragraph" w:customStyle="1" w:styleId="98">
    <w:name w:val="附录五级条标题"/>
    <w:basedOn w:val="94"/>
    <w:next w:val="24"/>
    <w:qFormat/>
    <w:uiPriority w:val="0"/>
    <w:pPr>
      <w:numPr>
        <w:ilvl w:val="6"/>
      </w:numPr>
      <w:outlineLvl w:val="6"/>
    </w:pPr>
  </w:style>
  <w:style w:type="paragraph" w:customStyle="1" w:styleId="99">
    <w:name w:val="封面标准英文名称2"/>
    <w:basedOn w:val="87"/>
    <w:qFormat/>
    <w:uiPriority w:val="0"/>
    <w:pPr>
      <w:framePr w:wrap="around" w:y="4469"/>
    </w:pPr>
  </w:style>
  <w:style w:type="paragraph" w:customStyle="1" w:styleId="100">
    <w:name w:val="附录五级无"/>
    <w:basedOn w:val="98"/>
    <w:qFormat/>
    <w:uiPriority w:val="0"/>
    <w:pPr>
      <w:tabs>
        <w:tab w:val="clear" w:pos="360"/>
      </w:tabs>
      <w:spacing w:before="0" w:beforeLines="0" w:after="0" w:afterLines="0"/>
    </w:pPr>
    <w:rPr>
      <w:rFonts w:ascii="宋体" w:eastAsia="宋体"/>
      <w:szCs w:val="21"/>
    </w:rPr>
  </w:style>
  <w:style w:type="paragraph" w:customStyle="1" w:styleId="101">
    <w:name w:val="附录章标题"/>
    <w:next w:val="24"/>
    <w:qFormat/>
    <w:uiPriority w:val="0"/>
    <w:pPr>
      <w:numPr>
        <w:ilvl w:val="1"/>
        <w:numId w:val="8"/>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02">
    <w:name w:val="附录一级条标题"/>
    <w:basedOn w:val="101"/>
    <w:next w:val="24"/>
    <w:qFormat/>
    <w:uiPriority w:val="0"/>
    <w:pPr>
      <w:numPr>
        <w:ilvl w:val="2"/>
      </w:numPr>
      <w:autoSpaceDN w:val="0"/>
      <w:spacing w:before="50" w:beforeLines="50" w:after="50" w:afterLines="50"/>
      <w:outlineLvl w:val="2"/>
    </w:pPr>
  </w:style>
  <w:style w:type="paragraph" w:customStyle="1" w:styleId="103">
    <w:name w:val="正文公式编号制表符"/>
    <w:basedOn w:val="24"/>
    <w:next w:val="24"/>
    <w:qFormat/>
    <w:uiPriority w:val="0"/>
    <w:pPr>
      <w:ind w:firstLine="0" w:firstLineChars="0"/>
    </w:pPr>
  </w:style>
  <w:style w:type="paragraph" w:customStyle="1" w:styleId="104">
    <w:name w:val="附录一级无"/>
    <w:basedOn w:val="102"/>
    <w:qFormat/>
    <w:uiPriority w:val="0"/>
    <w:pPr>
      <w:tabs>
        <w:tab w:val="clear" w:pos="360"/>
      </w:tabs>
      <w:spacing w:before="0" w:beforeLines="0" w:after="0" w:afterLines="0"/>
    </w:pPr>
    <w:rPr>
      <w:rFonts w:ascii="宋体" w:eastAsia="宋体"/>
      <w:szCs w:val="21"/>
    </w:rPr>
  </w:style>
  <w:style w:type="paragraph" w:customStyle="1" w:styleId="105">
    <w:name w:val="附录字母编号列项（一级）"/>
    <w:qFormat/>
    <w:uiPriority w:val="0"/>
    <w:pPr>
      <w:numPr>
        <w:ilvl w:val="0"/>
        <w:numId w:val="13"/>
      </w:numPr>
    </w:pPr>
    <w:rPr>
      <w:rFonts w:ascii="宋体" w:hAnsi="Times New Roman" w:eastAsia="宋体" w:cs="Times New Roman"/>
      <w:sz w:val="21"/>
      <w:lang w:val="en-US" w:eastAsia="zh-CN" w:bidi="ar-SA"/>
    </w:rPr>
  </w:style>
  <w:style w:type="paragraph" w:customStyle="1" w:styleId="10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07">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08">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09">
    <w:name w:val="其他标准标志"/>
    <w:basedOn w:val="75"/>
    <w:qFormat/>
    <w:uiPriority w:val="0"/>
    <w:pPr>
      <w:framePr w:w="6101" w:wrap="around" w:vAnchor="page" w:hAnchor="page" w:x="4673" w:y="942"/>
    </w:pPr>
    <w:rPr>
      <w:w w:val="130"/>
    </w:rPr>
  </w:style>
  <w:style w:type="paragraph" w:customStyle="1" w:styleId="110">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11">
    <w:name w:val="其他发布部门"/>
    <w:basedOn w:val="83"/>
    <w:qFormat/>
    <w:uiPriority w:val="0"/>
    <w:pPr>
      <w:framePr w:wrap="around" w:y="15310"/>
      <w:spacing w:line="0" w:lineRule="atLeast"/>
    </w:pPr>
    <w:rPr>
      <w:rFonts w:ascii="黑体" w:eastAsia="黑体"/>
      <w:b w:val="0"/>
    </w:rPr>
  </w:style>
  <w:style w:type="paragraph" w:customStyle="1" w:styleId="112">
    <w:name w:val="前言、引言标题"/>
    <w:next w:val="24"/>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3">
    <w:name w:val="三级无"/>
    <w:basedOn w:val="53"/>
    <w:qFormat/>
    <w:uiPriority w:val="0"/>
    <w:pPr>
      <w:spacing w:before="0" w:beforeLines="0" w:after="0" w:afterLines="0"/>
    </w:pPr>
    <w:rPr>
      <w:rFonts w:ascii="宋体" w:eastAsia="宋体"/>
    </w:rPr>
  </w:style>
  <w:style w:type="paragraph" w:customStyle="1" w:styleId="114">
    <w:name w:val="实施日期"/>
    <w:basedOn w:val="84"/>
    <w:qFormat/>
    <w:uiPriority w:val="0"/>
    <w:pPr>
      <w:framePr w:wrap="around" w:vAnchor="page"/>
      <w:jc w:val="right"/>
    </w:pPr>
  </w:style>
  <w:style w:type="paragraph" w:customStyle="1" w:styleId="115">
    <w:name w:val="示例后文字"/>
    <w:basedOn w:val="24"/>
    <w:next w:val="24"/>
    <w:qFormat/>
    <w:uiPriority w:val="0"/>
    <w:pPr>
      <w:ind w:firstLine="360"/>
    </w:pPr>
    <w:rPr>
      <w:sz w:val="18"/>
    </w:rPr>
  </w:style>
  <w:style w:type="paragraph" w:customStyle="1" w:styleId="116">
    <w:name w:val="首示例"/>
    <w:next w:val="24"/>
    <w:link w:val="136"/>
    <w:qFormat/>
    <w:uiPriority w:val="0"/>
    <w:pPr>
      <w:numPr>
        <w:ilvl w:val="0"/>
        <w:numId w:val="14"/>
      </w:numPr>
      <w:tabs>
        <w:tab w:val="left" w:pos="360"/>
      </w:tabs>
      <w:ind w:firstLine="0"/>
    </w:pPr>
    <w:rPr>
      <w:rFonts w:ascii="宋体" w:hAnsi="宋体" w:eastAsia="宋体" w:cs="Times New Roman"/>
      <w:kern w:val="2"/>
      <w:sz w:val="18"/>
      <w:szCs w:val="18"/>
      <w:lang w:val="en-US" w:eastAsia="zh-CN" w:bidi="ar-SA"/>
    </w:rPr>
  </w:style>
  <w:style w:type="paragraph" w:customStyle="1" w:styleId="117">
    <w:name w:val="四级无"/>
    <w:basedOn w:val="52"/>
    <w:qFormat/>
    <w:uiPriority w:val="0"/>
    <w:pPr>
      <w:spacing w:before="0" w:beforeLines="0" w:after="0" w:afterLines="0"/>
    </w:pPr>
    <w:rPr>
      <w:rFonts w:ascii="宋体" w:eastAsia="宋体"/>
    </w:rPr>
  </w:style>
  <w:style w:type="paragraph" w:customStyle="1" w:styleId="118">
    <w:name w:val="条文脚注"/>
    <w:basedOn w:val="25"/>
    <w:qFormat/>
    <w:uiPriority w:val="0"/>
    <w:pPr>
      <w:numPr>
        <w:numId w:val="0"/>
      </w:numPr>
      <w:jc w:val="both"/>
    </w:pPr>
  </w:style>
  <w:style w:type="paragraph" w:customStyle="1" w:styleId="119">
    <w:name w:val="图标脚注说明"/>
    <w:basedOn w:val="24"/>
    <w:qFormat/>
    <w:uiPriority w:val="0"/>
    <w:pPr>
      <w:ind w:left="840" w:hanging="420" w:firstLineChars="0"/>
    </w:pPr>
    <w:rPr>
      <w:sz w:val="18"/>
      <w:szCs w:val="18"/>
    </w:rPr>
  </w:style>
  <w:style w:type="paragraph" w:customStyle="1" w:styleId="120">
    <w:name w:val="图表脚注说明"/>
    <w:basedOn w:val="1"/>
    <w:qFormat/>
    <w:uiPriority w:val="0"/>
    <w:pPr>
      <w:numPr>
        <w:ilvl w:val="0"/>
        <w:numId w:val="15"/>
      </w:numPr>
    </w:pPr>
    <w:rPr>
      <w:rFonts w:ascii="宋体"/>
      <w:sz w:val="18"/>
      <w:szCs w:val="18"/>
    </w:rPr>
  </w:style>
  <w:style w:type="paragraph" w:customStyle="1" w:styleId="121">
    <w:name w:val="图的脚注"/>
    <w:next w:val="24"/>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22">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3">
    <w:name w:val="五级无"/>
    <w:basedOn w:val="60"/>
    <w:qFormat/>
    <w:uiPriority w:val="0"/>
    <w:pPr>
      <w:spacing w:before="0" w:beforeLines="0" w:after="0" w:afterLines="0"/>
    </w:pPr>
    <w:rPr>
      <w:rFonts w:ascii="宋体" w:eastAsia="宋体"/>
    </w:rPr>
  </w:style>
  <w:style w:type="paragraph" w:customStyle="1" w:styleId="124">
    <w:name w:val="一级无"/>
    <w:basedOn w:val="50"/>
    <w:qFormat/>
    <w:uiPriority w:val="0"/>
    <w:pPr>
      <w:spacing w:before="0" w:beforeLines="0" w:after="0" w:afterLines="0"/>
    </w:pPr>
    <w:rPr>
      <w:rFonts w:ascii="宋体" w:eastAsia="宋体"/>
    </w:rPr>
  </w:style>
  <w:style w:type="paragraph" w:customStyle="1" w:styleId="125">
    <w:name w:val="正文表标题"/>
    <w:next w:val="24"/>
    <w:qFormat/>
    <w:uiPriority w:val="0"/>
    <w:pPr>
      <w:numPr>
        <w:ilvl w:val="0"/>
        <w:numId w:val="16"/>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26">
    <w:name w:val="正文图标题"/>
    <w:next w:val="24"/>
    <w:qFormat/>
    <w:uiPriority w:val="0"/>
    <w:pPr>
      <w:numPr>
        <w:ilvl w:val="0"/>
        <w:numId w:val="17"/>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27">
    <w:name w:val="其他发布日期"/>
    <w:basedOn w:val="84"/>
    <w:qFormat/>
    <w:uiPriority w:val="0"/>
    <w:pPr>
      <w:framePr w:wrap="around" w:vAnchor="page" w:x="1419"/>
    </w:pPr>
  </w:style>
  <w:style w:type="paragraph" w:customStyle="1" w:styleId="128">
    <w:name w:val="其他实施日期"/>
    <w:basedOn w:val="114"/>
    <w:qFormat/>
    <w:uiPriority w:val="0"/>
    <w:pPr>
      <w:framePr w:wrap="around"/>
    </w:pPr>
  </w:style>
  <w:style w:type="paragraph" w:customStyle="1" w:styleId="129">
    <w:name w:val="封面标准名称2"/>
    <w:basedOn w:val="86"/>
    <w:qFormat/>
    <w:uiPriority w:val="0"/>
    <w:pPr>
      <w:framePr w:wrap="around" w:y="4469"/>
      <w:spacing w:before="630" w:beforeLines="630"/>
    </w:pPr>
  </w:style>
  <w:style w:type="paragraph" w:customStyle="1" w:styleId="130">
    <w:name w:val="封面一致性程度标识2"/>
    <w:basedOn w:val="88"/>
    <w:qFormat/>
    <w:uiPriority w:val="0"/>
    <w:pPr>
      <w:framePr w:wrap="around" w:y="4469"/>
    </w:pPr>
  </w:style>
  <w:style w:type="paragraph" w:customStyle="1" w:styleId="131">
    <w:name w:val="封面标准文稿类别2"/>
    <w:basedOn w:val="89"/>
    <w:qFormat/>
    <w:uiPriority w:val="0"/>
    <w:pPr>
      <w:framePr w:wrap="around" w:y="4469"/>
    </w:pPr>
  </w:style>
  <w:style w:type="paragraph" w:customStyle="1" w:styleId="132">
    <w:name w:val="封面标准文稿编辑信息2"/>
    <w:basedOn w:val="90"/>
    <w:qFormat/>
    <w:uiPriority w:val="0"/>
    <w:pPr>
      <w:framePr w:wrap="around" w:y="4469"/>
    </w:pPr>
  </w:style>
  <w:style w:type="character" w:customStyle="1" w:styleId="133">
    <w:name w:val="段 Char"/>
    <w:link w:val="24"/>
    <w:qFormat/>
    <w:uiPriority w:val="0"/>
    <w:rPr>
      <w:rFonts w:ascii="宋体"/>
      <w:sz w:val="21"/>
      <w:lang w:val="en-US" w:eastAsia="zh-CN" w:bidi="ar-SA"/>
    </w:rPr>
  </w:style>
  <w:style w:type="character" w:customStyle="1" w:styleId="134">
    <w:name w:val="发布"/>
    <w:qFormat/>
    <w:uiPriority w:val="0"/>
    <w:rPr>
      <w:rFonts w:ascii="黑体" w:eastAsia="黑体"/>
      <w:spacing w:val="85"/>
      <w:w w:val="100"/>
      <w:position w:val="3"/>
      <w:sz w:val="28"/>
      <w:szCs w:val="28"/>
    </w:rPr>
  </w:style>
  <w:style w:type="character" w:customStyle="1" w:styleId="135">
    <w:name w:val="附录公式 Char"/>
    <w:basedOn w:val="133"/>
    <w:link w:val="92"/>
    <w:qFormat/>
    <w:uiPriority w:val="0"/>
    <w:rPr>
      <w:rFonts w:ascii="宋体"/>
      <w:sz w:val="21"/>
      <w:lang w:val="en-US" w:eastAsia="zh-CN" w:bidi="ar-SA"/>
    </w:rPr>
  </w:style>
  <w:style w:type="character" w:customStyle="1" w:styleId="136">
    <w:name w:val="首示例 Char"/>
    <w:link w:val="116"/>
    <w:qFormat/>
    <w:uiPriority w:val="0"/>
    <w:rPr>
      <w:rFonts w:ascii="宋体" w:hAnsi="宋体"/>
      <w:kern w:val="2"/>
      <w:sz w:val="18"/>
      <w:szCs w:val="18"/>
      <w:lang w:val="en-US" w:eastAsia="zh-CN" w:bidi="ar-SA"/>
    </w:rPr>
  </w:style>
  <w:style w:type="paragraph" w:customStyle="1" w:styleId="137">
    <w:name w:val="Table Text"/>
    <w:basedOn w:val="1"/>
    <w:semiHidden/>
    <w:qFormat/>
    <w:uiPriority w:val="0"/>
    <w:rPr>
      <w:rFonts w:ascii="宋体" w:hAnsi="宋体" w:cs="宋体"/>
      <w:sz w:val="18"/>
      <w:szCs w:val="18"/>
      <w:lang w:eastAsia="en-US"/>
    </w:rPr>
  </w:style>
  <w:style w:type="table" w:customStyle="1" w:styleId="138">
    <w:name w:val="Table Normal"/>
    <w:semiHidden/>
    <w:unhideWhenUsed/>
    <w:qFormat/>
    <w:uiPriority w:val="0"/>
    <w:tblPr>
      <w:tblCellMar>
        <w:top w:w="0" w:type="dxa"/>
        <w:left w:w="0" w:type="dxa"/>
        <w:bottom w:w="0" w:type="dxa"/>
        <w:right w:w="0" w:type="dxa"/>
      </w:tblCellMar>
    </w:tblPr>
  </w:style>
  <w:style w:type="character" w:customStyle="1" w:styleId="139">
    <w:name w:val="批注框文本 Char"/>
    <w:basedOn w:val="34"/>
    <w:link w:val="17"/>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3.jpeg"/><Relationship Id="rId14" Type="http://schemas.openxmlformats.org/officeDocument/2006/relationships/image" Target="media/image2.jpeg"/><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Desktop\01&#12298;&#23500;&#30802;&#26577;&#26708;&#31867;&#65288;&#20117;&#20872;&#34588;&#26586;&#12289;&#35199;&#26586;&#12289;&#33889;&#33796;&#26586;&#12289;&#27225;&#23376;&#12289;&#34588;&#26708;&#65289;&#27700;&#26524;&#31181;&#26893;&#25216;&#26415;&#35268;&#31243;&#12299;&#32534;&#21046;&#35828;&#2612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01《富硒柑桔类（井冈蜜柚、西柚、葡萄柚、橙子、蜜桔）水果种植技术规程》编制说明</Template>
  <Pages>16</Pages>
  <Words>4822</Words>
  <Characters>5736</Characters>
  <Lines>49</Lines>
  <Paragraphs>13</Paragraphs>
  <TotalTime>5</TotalTime>
  <ScaleCrop>false</ScaleCrop>
  <LinksUpToDate>false</LinksUpToDate>
  <CharactersWithSpaces>6085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2020-12-29T06:52:00Z</dcterms:created>
  <dcterms:modified xsi:type="dcterms:W3CDTF">2024-09-24T08:21:47Z</dcterms:modified>
  <dc:title>标准名称</dc:title>
  <cp:revision>364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6C1D81E960684ADA9DBA455414E98EA6_12</vt:lpwstr>
  </property>
</Properties>
</file>